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left"/>
        <w:rPr>
          <w:rFonts w:ascii="黑体" w:hAnsi="黑体" w:eastAsia="黑体"/>
          <w:sz w:val="32"/>
          <w:szCs w:val="32"/>
        </w:rPr>
      </w:pPr>
      <w:bookmarkStart w:id="273" w:name="_GoBack"/>
      <w:bookmarkEnd w:id="273"/>
      <w:bookmarkStart w:id="0" w:name="_Toc239653610"/>
      <w:bookmarkStart w:id="1" w:name="_Toc243796563"/>
      <w:bookmarkStart w:id="2" w:name="_Toc243797231"/>
      <w:bookmarkStart w:id="3" w:name="_Toc291776491"/>
      <w:bookmarkStart w:id="4" w:name="_Toc292355929"/>
      <w:bookmarkStart w:id="5" w:name="_Toc291776570"/>
      <w:r>
        <w:rPr>
          <w:rFonts w:hint="eastAsia" w:ascii="黑体" w:hAnsi="黑体" w:eastAsia="黑体"/>
          <w:sz w:val="32"/>
          <w:szCs w:val="32"/>
        </w:rPr>
        <w:t>附件2</w:t>
      </w:r>
    </w:p>
    <w:p>
      <w:pPr>
        <w:spacing w:line="300" w:lineRule="auto"/>
        <w:jc w:val="center"/>
        <w:rPr>
          <w:rFonts w:eastAsia="黑体"/>
          <w:sz w:val="52"/>
        </w:rPr>
      </w:pPr>
    </w:p>
    <w:p>
      <w:pPr>
        <w:spacing w:line="300" w:lineRule="auto"/>
        <w:jc w:val="center"/>
        <w:rPr>
          <w:rFonts w:eastAsia="黑体"/>
          <w:sz w:val="52"/>
        </w:rPr>
      </w:pPr>
    </w:p>
    <w:p>
      <w:pPr>
        <w:spacing w:line="300" w:lineRule="auto"/>
        <w:jc w:val="center"/>
        <w:rPr>
          <w:rFonts w:eastAsia="黑体"/>
          <w:sz w:val="52"/>
        </w:rPr>
      </w:pPr>
    </w:p>
    <w:p>
      <w:pPr>
        <w:spacing w:line="300" w:lineRule="auto"/>
        <w:jc w:val="center"/>
        <w:rPr>
          <w:rFonts w:eastAsia="黑体"/>
          <w:sz w:val="52"/>
        </w:rPr>
      </w:pPr>
    </w:p>
    <w:p>
      <w:pPr>
        <w:spacing w:line="300" w:lineRule="auto"/>
        <w:jc w:val="center"/>
        <w:rPr>
          <w:rFonts w:ascii="方正小标宋简体" w:eastAsia="方正小标宋简体"/>
          <w:sz w:val="44"/>
          <w:szCs w:val="52"/>
        </w:rPr>
      </w:pPr>
      <w:r>
        <w:rPr>
          <w:rFonts w:hint="eastAsia" w:ascii="方正小标宋简体" w:eastAsia="方正小标宋简体"/>
          <w:sz w:val="44"/>
          <w:szCs w:val="52"/>
        </w:rPr>
        <w:t>分散式电力现货市场运营系统功能规范</w:t>
      </w:r>
    </w:p>
    <w:p>
      <w:pPr>
        <w:spacing w:line="300" w:lineRule="auto"/>
        <w:jc w:val="center"/>
        <w:rPr>
          <w:rFonts w:ascii="楷体_GB2312" w:eastAsia="楷体_GB2312"/>
          <w:sz w:val="32"/>
          <w:szCs w:val="30"/>
        </w:rPr>
      </w:pPr>
      <w:r>
        <w:rPr>
          <w:rFonts w:hint="eastAsia" w:ascii="楷体_GB2312" w:eastAsia="楷体_GB2312"/>
          <w:sz w:val="32"/>
          <w:szCs w:val="30"/>
        </w:rPr>
        <w:t>（征求意见稿）</w:t>
      </w:r>
    </w:p>
    <w:p>
      <w:pPr>
        <w:spacing w:line="300" w:lineRule="auto"/>
        <w:jc w:val="center"/>
        <w:rPr>
          <w:rFonts w:eastAsia="黑体"/>
          <w:b/>
          <w:sz w:val="32"/>
          <w:szCs w:val="30"/>
        </w:rPr>
      </w:pPr>
    </w:p>
    <w:p>
      <w:pPr>
        <w:spacing w:line="300" w:lineRule="auto"/>
        <w:rPr>
          <w:rFonts w:eastAsia="黑体"/>
          <w:b/>
          <w:sz w:val="30"/>
          <w:szCs w:val="30"/>
        </w:rPr>
      </w:pPr>
    </w:p>
    <w:p>
      <w:pPr>
        <w:spacing w:line="300" w:lineRule="auto"/>
        <w:rPr>
          <w:rFonts w:eastAsia="黑体"/>
          <w:b/>
          <w:sz w:val="52"/>
          <w:szCs w:val="52"/>
        </w:rPr>
      </w:pPr>
    </w:p>
    <w:p>
      <w:pPr>
        <w:spacing w:line="300" w:lineRule="auto"/>
        <w:rPr>
          <w:rFonts w:eastAsia="黑体"/>
          <w:sz w:val="44"/>
          <w:szCs w:val="44"/>
        </w:rPr>
      </w:pPr>
    </w:p>
    <w:p>
      <w:pPr>
        <w:pStyle w:val="61"/>
        <w:spacing w:line="300" w:lineRule="auto"/>
        <w:rPr>
          <w:rFonts w:cs="Times New Roman"/>
        </w:rPr>
      </w:pPr>
    </w:p>
    <w:p>
      <w:pPr>
        <w:pStyle w:val="61"/>
        <w:spacing w:line="300" w:lineRule="auto"/>
        <w:rPr>
          <w:rFonts w:cs="Times New Roman"/>
        </w:rPr>
      </w:pPr>
    </w:p>
    <w:p>
      <w:pPr>
        <w:pStyle w:val="61"/>
        <w:spacing w:line="300" w:lineRule="auto"/>
        <w:rPr>
          <w:rFonts w:cs="Times New Roman"/>
        </w:rPr>
      </w:pPr>
    </w:p>
    <w:p>
      <w:pPr>
        <w:spacing w:line="300" w:lineRule="auto"/>
        <w:rPr>
          <w:rFonts w:eastAsia="黑体"/>
          <w:sz w:val="44"/>
          <w:szCs w:val="44"/>
        </w:rPr>
      </w:pPr>
    </w:p>
    <w:p>
      <w:pPr>
        <w:spacing w:line="300" w:lineRule="auto"/>
        <w:rPr>
          <w:rFonts w:eastAsia="黑体"/>
          <w:sz w:val="44"/>
          <w:szCs w:val="44"/>
        </w:rPr>
      </w:pPr>
    </w:p>
    <w:p>
      <w:pPr>
        <w:spacing w:line="300" w:lineRule="auto"/>
        <w:rPr>
          <w:rFonts w:eastAsia="黑体"/>
          <w:sz w:val="44"/>
          <w:szCs w:val="44"/>
        </w:rPr>
      </w:pPr>
    </w:p>
    <w:p>
      <w:pPr>
        <w:spacing w:line="300" w:lineRule="auto"/>
        <w:rPr>
          <w:rFonts w:eastAsia="黑体"/>
          <w:sz w:val="44"/>
          <w:szCs w:val="44"/>
        </w:rPr>
      </w:pPr>
    </w:p>
    <w:p>
      <w:pPr>
        <w:spacing w:line="300" w:lineRule="auto"/>
        <w:rPr>
          <w:rFonts w:eastAsia="黑体"/>
          <w:sz w:val="44"/>
          <w:szCs w:val="44"/>
        </w:rPr>
      </w:pPr>
    </w:p>
    <w:p>
      <w:pPr>
        <w:spacing w:line="300" w:lineRule="auto"/>
        <w:jc w:val="center"/>
        <w:rPr>
          <w:rFonts w:eastAsia="黑体"/>
          <w:sz w:val="32"/>
          <w:szCs w:val="36"/>
        </w:rPr>
      </w:pPr>
    </w:p>
    <w:p>
      <w:pPr>
        <w:spacing w:line="300" w:lineRule="auto"/>
        <w:jc w:val="center"/>
        <w:rPr>
          <w:rFonts w:eastAsia="黑体"/>
          <w:sz w:val="32"/>
          <w:szCs w:val="36"/>
        </w:rPr>
        <w:sectPr>
          <w:footerReference r:id="rId3" w:type="default"/>
          <w:footerReference r:id="rId4" w:type="even"/>
          <w:pgSz w:w="11906" w:h="16838"/>
          <w:pgMar w:top="1418" w:right="1418" w:bottom="1418" w:left="1418" w:header="851" w:footer="992" w:gutter="0"/>
          <w:pgNumType w:start="1"/>
          <w:cols w:space="425" w:num="1"/>
          <w:docGrid w:type="lines" w:linePitch="312" w:charSpace="0"/>
        </w:sectPr>
      </w:pPr>
      <w:r>
        <w:rPr>
          <w:rFonts w:eastAsia="黑体"/>
          <w:sz w:val="32"/>
          <w:szCs w:val="36"/>
        </w:rPr>
        <w:t>二〇一八年四月</w:t>
      </w:r>
    </w:p>
    <w:p>
      <w:pPr>
        <w:spacing w:before="640" w:after="560" w:line="300" w:lineRule="auto"/>
        <w:jc w:val="center"/>
        <w:rPr>
          <w:rFonts w:eastAsia="黑体"/>
          <w:b/>
          <w:sz w:val="32"/>
          <w:szCs w:val="32"/>
        </w:rPr>
      </w:pPr>
      <w:r>
        <w:rPr>
          <w:rFonts w:eastAsia="黑体"/>
          <w:b/>
          <w:sz w:val="32"/>
          <w:szCs w:val="32"/>
        </w:rPr>
        <w:t xml:space="preserve">目  </w:t>
      </w:r>
      <w:bookmarkEnd w:id="0"/>
      <w:bookmarkEnd w:id="1"/>
      <w:bookmarkEnd w:id="2"/>
      <w:r>
        <w:rPr>
          <w:rFonts w:eastAsia="黑体"/>
          <w:b/>
          <w:sz w:val="32"/>
          <w:szCs w:val="32"/>
        </w:rPr>
        <w:t xml:space="preserve">  </w:t>
      </w:r>
      <w:bookmarkEnd w:id="3"/>
      <w:bookmarkEnd w:id="4"/>
      <w:bookmarkEnd w:id="5"/>
      <w:r>
        <w:rPr>
          <w:rFonts w:eastAsia="黑体"/>
          <w:b/>
          <w:sz w:val="32"/>
          <w:szCs w:val="32"/>
        </w:rPr>
        <w:t>录</w:t>
      </w:r>
    </w:p>
    <w:p>
      <w:pPr>
        <w:pStyle w:val="24"/>
        <w:rPr>
          <w:rFonts w:asciiTheme="minorHAnsi" w:hAnsiTheme="minorHAnsi" w:eastAsiaTheme="minorEastAsia" w:cstheme="minorBidi"/>
          <w:sz w:val="21"/>
          <w:szCs w:val="22"/>
        </w:rPr>
      </w:pPr>
      <w:r>
        <w:rPr>
          <w:bCs/>
        </w:rPr>
        <w:fldChar w:fldCharType="begin"/>
      </w:r>
      <w:r>
        <w:rPr>
          <w:bCs/>
        </w:rPr>
        <w:instrText xml:space="preserve"> TOC \o "1-3" \h \z \u </w:instrText>
      </w:r>
      <w:r>
        <w:rPr>
          <w:bCs/>
        </w:rPr>
        <w:fldChar w:fldCharType="separate"/>
      </w:r>
      <w:r>
        <w:fldChar w:fldCharType="begin"/>
      </w:r>
      <w:r>
        <w:instrText xml:space="preserve"> HYPERLINK \l "_Toc511389178" </w:instrText>
      </w:r>
      <w:r>
        <w:fldChar w:fldCharType="separate"/>
      </w:r>
      <w:r>
        <w:rPr>
          <w:rStyle w:val="33"/>
        </w:rPr>
        <w:t>1</w:t>
      </w:r>
      <w:r>
        <w:rPr>
          <w:rStyle w:val="33"/>
          <w:rFonts w:hint="eastAsia"/>
        </w:rPr>
        <w:t xml:space="preserve"> 适用范围</w:t>
      </w:r>
      <w:r>
        <w:tab/>
      </w:r>
      <w:r>
        <w:fldChar w:fldCharType="begin"/>
      </w:r>
      <w:r>
        <w:instrText xml:space="preserve"> PAGEREF _Toc511389178 \h </w:instrText>
      </w:r>
      <w:r>
        <w:fldChar w:fldCharType="separate"/>
      </w:r>
      <w:r>
        <w:t>1</w:t>
      </w:r>
      <w:r>
        <w:fldChar w:fldCharType="end"/>
      </w:r>
      <w:r>
        <w:fldChar w:fldCharType="end"/>
      </w:r>
    </w:p>
    <w:p>
      <w:pPr>
        <w:pStyle w:val="24"/>
        <w:rPr>
          <w:rFonts w:asciiTheme="minorHAnsi" w:hAnsiTheme="minorHAnsi" w:eastAsiaTheme="minorEastAsia" w:cstheme="minorBidi"/>
          <w:sz w:val="21"/>
          <w:szCs w:val="22"/>
        </w:rPr>
      </w:pPr>
      <w:r>
        <w:fldChar w:fldCharType="begin"/>
      </w:r>
      <w:r>
        <w:instrText xml:space="preserve"> HYPERLINK \l "_Toc511389179" </w:instrText>
      </w:r>
      <w:r>
        <w:fldChar w:fldCharType="separate"/>
      </w:r>
      <w:r>
        <w:rPr>
          <w:rStyle w:val="33"/>
        </w:rPr>
        <w:t>2</w:t>
      </w:r>
      <w:r>
        <w:rPr>
          <w:rStyle w:val="33"/>
          <w:rFonts w:hint="eastAsia"/>
        </w:rPr>
        <w:t xml:space="preserve"> 规范性引用文件</w:t>
      </w:r>
      <w:r>
        <w:tab/>
      </w:r>
      <w:r>
        <w:fldChar w:fldCharType="begin"/>
      </w:r>
      <w:r>
        <w:instrText xml:space="preserve"> PAGEREF _Toc511389179 \h </w:instrText>
      </w:r>
      <w:r>
        <w:fldChar w:fldCharType="separate"/>
      </w:r>
      <w:r>
        <w:t>1</w:t>
      </w:r>
      <w:r>
        <w:fldChar w:fldCharType="end"/>
      </w:r>
      <w:r>
        <w:fldChar w:fldCharType="end"/>
      </w:r>
    </w:p>
    <w:p>
      <w:pPr>
        <w:pStyle w:val="24"/>
        <w:rPr>
          <w:rFonts w:asciiTheme="minorHAnsi" w:hAnsiTheme="minorHAnsi" w:eastAsiaTheme="minorEastAsia" w:cstheme="minorBidi"/>
          <w:sz w:val="21"/>
          <w:szCs w:val="22"/>
        </w:rPr>
      </w:pPr>
      <w:r>
        <w:fldChar w:fldCharType="begin"/>
      </w:r>
      <w:r>
        <w:instrText xml:space="preserve"> HYPERLINK \l "_Toc511389180" </w:instrText>
      </w:r>
      <w:r>
        <w:fldChar w:fldCharType="separate"/>
      </w:r>
      <w:r>
        <w:rPr>
          <w:rStyle w:val="33"/>
        </w:rPr>
        <w:t>3</w:t>
      </w:r>
      <w:r>
        <w:rPr>
          <w:rStyle w:val="33"/>
          <w:rFonts w:hint="eastAsia"/>
        </w:rPr>
        <w:t xml:space="preserve"> 术语和定义</w:t>
      </w:r>
      <w:r>
        <w:tab/>
      </w:r>
      <w:r>
        <w:fldChar w:fldCharType="begin"/>
      </w:r>
      <w:r>
        <w:instrText xml:space="preserve"> PAGEREF _Toc511389180 \h </w:instrText>
      </w:r>
      <w:r>
        <w:fldChar w:fldCharType="separate"/>
      </w:r>
      <w:r>
        <w:t>1</w:t>
      </w:r>
      <w:r>
        <w:fldChar w:fldCharType="end"/>
      </w:r>
      <w:r>
        <w:fldChar w:fldCharType="end"/>
      </w:r>
    </w:p>
    <w:p>
      <w:pPr>
        <w:pStyle w:val="24"/>
        <w:rPr>
          <w:rFonts w:asciiTheme="minorHAnsi" w:hAnsiTheme="minorHAnsi" w:eastAsiaTheme="minorEastAsia" w:cstheme="minorBidi"/>
          <w:sz w:val="21"/>
          <w:szCs w:val="22"/>
        </w:rPr>
      </w:pPr>
      <w:r>
        <w:fldChar w:fldCharType="begin"/>
      </w:r>
      <w:r>
        <w:instrText xml:space="preserve"> HYPERLINK \l "_Toc511389181" </w:instrText>
      </w:r>
      <w:r>
        <w:fldChar w:fldCharType="separate"/>
      </w:r>
      <w:r>
        <w:rPr>
          <w:rStyle w:val="33"/>
        </w:rPr>
        <w:t>4</w:t>
      </w:r>
      <w:r>
        <w:rPr>
          <w:rStyle w:val="33"/>
          <w:rFonts w:hint="eastAsia"/>
        </w:rPr>
        <w:t xml:space="preserve"> 总体要求</w:t>
      </w:r>
      <w:r>
        <w:tab/>
      </w:r>
      <w:r>
        <w:fldChar w:fldCharType="begin"/>
      </w:r>
      <w:r>
        <w:instrText xml:space="preserve"> PAGEREF _Toc511389181 \h </w:instrText>
      </w:r>
      <w:r>
        <w:fldChar w:fldCharType="separate"/>
      </w:r>
      <w:r>
        <w:t>4</w:t>
      </w:r>
      <w:r>
        <w:fldChar w:fldCharType="end"/>
      </w:r>
      <w:r>
        <w:fldChar w:fldCharType="end"/>
      </w:r>
    </w:p>
    <w:p>
      <w:pPr>
        <w:pStyle w:val="24"/>
        <w:rPr>
          <w:rFonts w:asciiTheme="minorHAnsi" w:hAnsiTheme="minorHAnsi" w:eastAsiaTheme="minorEastAsia" w:cstheme="minorBidi"/>
          <w:sz w:val="21"/>
          <w:szCs w:val="22"/>
        </w:rPr>
      </w:pPr>
      <w:r>
        <w:fldChar w:fldCharType="begin"/>
      </w:r>
      <w:r>
        <w:instrText xml:space="preserve"> HYPERLINK \l "_Toc511389182" </w:instrText>
      </w:r>
      <w:r>
        <w:fldChar w:fldCharType="separate"/>
      </w:r>
      <w:r>
        <w:rPr>
          <w:rStyle w:val="33"/>
        </w:rPr>
        <w:t>5</w:t>
      </w:r>
      <w:r>
        <w:rPr>
          <w:rStyle w:val="33"/>
          <w:rFonts w:hint="eastAsia"/>
        </w:rPr>
        <w:t xml:space="preserve"> 电力现货市场运营系统总体框架</w:t>
      </w:r>
      <w:r>
        <w:tab/>
      </w:r>
      <w:r>
        <w:fldChar w:fldCharType="begin"/>
      </w:r>
      <w:r>
        <w:instrText xml:space="preserve"> PAGEREF _Toc511389182 \h </w:instrText>
      </w:r>
      <w:r>
        <w:fldChar w:fldCharType="separate"/>
      </w:r>
      <w:r>
        <w:t>5</w:t>
      </w:r>
      <w:r>
        <w:fldChar w:fldCharType="end"/>
      </w:r>
      <w:r>
        <w:fldChar w:fldCharType="end"/>
      </w:r>
    </w:p>
    <w:p>
      <w:pPr>
        <w:pStyle w:val="24"/>
        <w:rPr>
          <w:rFonts w:asciiTheme="minorHAnsi" w:hAnsiTheme="minorHAnsi" w:eastAsiaTheme="minorEastAsia" w:cstheme="minorBidi"/>
          <w:sz w:val="21"/>
          <w:szCs w:val="22"/>
        </w:rPr>
      </w:pPr>
      <w:r>
        <w:fldChar w:fldCharType="begin"/>
      </w:r>
      <w:r>
        <w:instrText xml:space="preserve"> HYPERLINK \l "_Toc511389183" </w:instrText>
      </w:r>
      <w:r>
        <w:fldChar w:fldCharType="separate"/>
      </w:r>
      <w:r>
        <w:rPr>
          <w:rStyle w:val="33"/>
        </w:rPr>
        <w:t>6</w:t>
      </w:r>
      <w:r>
        <w:rPr>
          <w:rStyle w:val="33"/>
          <w:rFonts w:hint="eastAsia"/>
        </w:rPr>
        <w:t xml:space="preserve"> 各子系统功能规范</w:t>
      </w:r>
      <w:r>
        <w:tab/>
      </w:r>
      <w:r>
        <w:fldChar w:fldCharType="begin"/>
      </w:r>
      <w:r>
        <w:instrText xml:space="preserve"> PAGEREF _Toc511389183 \h </w:instrText>
      </w:r>
      <w:r>
        <w:fldChar w:fldCharType="separate"/>
      </w:r>
      <w:r>
        <w:t>6</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"_Toc511389184" </w:instrText>
      </w:r>
      <w:r>
        <w:fldChar w:fldCharType="separate"/>
      </w:r>
      <w:r>
        <w:rPr>
          <w:rStyle w:val="33"/>
        </w:rPr>
        <w:t>6.1</w:t>
      </w:r>
      <w:r>
        <w:rPr>
          <w:rStyle w:val="33"/>
          <w:rFonts w:hint="eastAsia"/>
        </w:rPr>
        <w:t xml:space="preserve"> 市场成员管理</w:t>
      </w:r>
      <w:r>
        <w:tab/>
      </w:r>
      <w:r>
        <w:fldChar w:fldCharType="begin"/>
      </w:r>
      <w:r>
        <w:instrText xml:space="preserve"> PAGEREF _Toc511389184 \h </w:instrText>
      </w:r>
      <w:r>
        <w:fldChar w:fldCharType="separate"/>
      </w:r>
      <w:r>
        <w:t>6</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"_Toc511389185" </w:instrText>
      </w:r>
      <w:r>
        <w:fldChar w:fldCharType="separate"/>
      </w:r>
      <w:r>
        <w:rPr>
          <w:rStyle w:val="33"/>
        </w:rPr>
        <w:t>6.1.1</w:t>
      </w:r>
      <w:r>
        <w:rPr>
          <w:rStyle w:val="33"/>
          <w:rFonts w:hint="eastAsia"/>
        </w:rPr>
        <w:t xml:space="preserve"> </w:t>
      </w:r>
      <w:r>
        <w:rPr>
          <w:rStyle w:val="33"/>
          <w:rFonts w:hint="eastAsia" w:ascii="宋体" w:hAnsi="宋体" w:eastAsia="宋体" w:cs="宋体"/>
        </w:rPr>
        <w:t>功能要求</w:t>
      </w:r>
      <w:r>
        <w:tab/>
      </w:r>
      <w:r>
        <w:fldChar w:fldCharType="begin"/>
      </w:r>
      <w:r>
        <w:instrText xml:space="preserve"> PAGEREF _Toc511389185 \h </w:instrText>
      </w:r>
      <w:r>
        <w:fldChar w:fldCharType="separate"/>
      </w:r>
      <w:r>
        <w:t>6</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"_Toc511389186" </w:instrText>
      </w:r>
      <w:r>
        <w:fldChar w:fldCharType="separate"/>
      </w:r>
      <w:r>
        <w:rPr>
          <w:rStyle w:val="33"/>
        </w:rPr>
        <w:t>6.1.2</w:t>
      </w:r>
      <w:r>
        <w:rPr>
          <w:rStyle w:val="33"/>
          <w:rFonts w:hint="eastAsia"/>
        </w:rPr>
        <w:t xml:space="preserve"> </w:t>
      </w:r>
      <w:r>
        <w:rPr>
          <w:rStyle w:val="33"/>
          <w:rFonts w:hint="eastAsia" w:ascii="宋体" w:hAnsi="宋体" w:eastAsia="宋体" w:cs="宋体"/>
        </w:rPr>
        <w:t>界面要求</w:t>
      </w:r>
      <w:r>
        <w:tab/>
      </w:r>
      <w:r>
        <w:fldChar w:fldCharType="begin"/>
      </w:r>
      <w:r>
        <w:instrText xml:space="preserve"> PAGEREF _Toc511389186 \h </w:instrText>
      </w:r>
      <w:r>
        <w:fldChar w:fldCharType="separate"/>
      </w:r>
      <w:r>
        <w:t>8</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"_Toc511389187" </w:instrText>
      </w:r>
      <w:r>
        <w:fldChar w:fldCharType="separate"/>
      </w:r>
      <w:r>
        <w:rPr>
          <w:rStyle w:val="33"/>
        </w:rPr>
        <w:t>6.1.3</w:t>
      </w:r>
      <w:r>
        <w:rPr>
          <w:rStyle w:val="33"/>
          <w:rFonts w:hint="eastAsia"/>
        </w:rPr>
        <w:t xml:space="preserve"> </w:t>
      </w:r>
      <w:r>
        <w:rPr>
          <w:rStyle w:val="33"/>
          <w:rFonts w:hint="eastAsia" w:ascii="宋体" w:hAnsi="宋体" w:eastAsia="宋体" w:cs="宋体"/>
        </w:rPr>
        <w:t>接口要求</w:t>
      </w:r>
      <w:r>
        <w:tab/>
      </w:r>
      <w:r>
        <w:fldChar w:fldCharType="begin"/>
      </w:r>
      <w:r>
        <w:instrText xml:space="preserve"> PAGEREF _Toc511389187 \h </w:instrText>
      </w:r>
      <w:r>
        <w:fldChar w:fldCharType="separate"/>
      </w:r>
      <w:r>
        <w:t>8</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"_Toc511389188" </w:instrText>
      </w:r>
      <w:r>
        <w:fldChar w:fldCharType="separate"/>
      </w:r>
      <w:r>
        <w:rPr>
          <w:rStyle w:val="33"/>
        </w:rPr>
        <w:t>6.2</w:t>
      </w:r>
      <w:r>
        <w:rPr>
          <w:rStyle w:val="33"/>
          <w:rFonts w:hint="eastAsia"/>
        </w:rPr>
        <w:t xml:space="preserve"> 数据管理</w:t>
      </w:r>
      <w:r>
        <w:tab/>
      </w:r>
      <w:r>
        <w:fldChar w:fldCharType="begin"/>
      </w:r>
      <w:r>
        <w:instrText xml:space="preserve"> PAGEREF _Toc511389188 \h </w:instrText>
      </w:r>
      <w:r>
        <w:fldChar w:fldCharType="separate"/>
      </w:r>
      <w:r>
        <w:t>8</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"_Toc511389189" </w:instrText>
      </w:r>
      <w:r>
        <w:fldChar w:fldCharType="separate"/>
      </w:r>
      <w:r>
        <w:rPr>
          <w:rStyle w:val="33"/>
        </w:rPr>
        <w:t>6.2.1</w:t>
      </w:r>
      <w:r>
        <w:rPr>
          <w:rStyle w:val="33"/>
          <w:rFonts w:hint="eastAsia"/>
        </w:rPr>
        <w:t xml:space="preserve"> </w:t>
      </w:r>
      <w:r>
        <w:rPr>
          <w:rStyle w:val="33"/>
          <w:rFonts w:hint="eastAsia" w:ascii="宋体" w:hAnsi="宋体" w:eastAsia="宋体" w:cs="宋体"/>
        </w:rPr>
        <w:t>功能要求</w:t>
      </w:r>
      <w:r>
        <w:tab/>
      </w:r>
      <w:r>
        <w:fldChar w:fldCharType="begin"/>
      </w:r>
      <w:r>
        <w:instrText xml:space="preserve"> PAGEREF _Toc511389189 \h </w:instrText>
      </w:r>
      <w:r>
        <w:fldChar w:fldCharType="separate"/>
      </w:r>
      <w:r>
        <w:t>8</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"_Toc511389190" </w:instrText>
      </w:r>
      <w:r>
        <w:fldChar w:fldCharType="separate"/>
      </w:r>
      <w:r>
        <w:rPr>
          <w:rStyle w:val="33"/>
        </w:rPr>
        <w:t>6.2.2</w:t>
      </w:r>
      <w:r>
        <w:rPr>
          <w:rStyle w:val="33"/>
          <w:rFonts w:hint="eastAsia"/>
        </w:rPr>
        <w:t xml:space="preserve"> </w:t>
      </w:r>
      <w:r>
        <w:rPr>
          <w:rStyle w:val="33"/>
          <w:rFonts w:hint="eastAsia" w:ascii="宋体" w:hAnsi="宋体" w:eastAsia="宋体" w:cs="宋体"/>
        </w:rPr>
        <w:t>界面要求</w:t>
      </w:r>
      <w:r>
        <w:tab/>
      </w:r>
      <w:r>
        <w:fldChar w:fldCharType="begin"/>
      </w:r>
      <w:r>
        <w:instrText xml:space="preserve"> PAGEREF _Toc511389190 \h </w:instrText>
      </w:r>
      <w:r>
        <w:fldChar w:fldCharType="separate"/>
      </w:r>
      <w:r>
        <w:t>10</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"_Toc511389191" </w:instrText>
      </w:r>
      <w:r>
        <w:fldChar w:fldCharType="separate"/>
      </w:r>
      <w:r>
        <w:rPr>
          <w:rStyle w:val="33"/>
        </w:rPr>
        <w:t>6.2.3</w:t>
      </w:r>
      <w:r>
        <w:rPr>
          <w:rStyle w:val="33"/>
          <w:rFonts w:hint="eastAsia"/>
        </w:rPr>
        <w:t xml:space="preserve"> </w:t>
      </w:r>
      <w:r>
        <w:rPr>
          <w:rStyle w:val="33"/>
          <w:rFonts w:hint="eastAsia" w:ascii="宋体" w:hAnsi="宋体" w:eastAsia="宋体" w:cs="宋体"/>
        </w:rPr>
        <w:t>接口要求</w:t>
      </w:r>
      <w:r>
        <w:tab/>
      </w:r>
      <w:r>
        <w:fldChar w:fldCharType="begin"/>
      </w:r>
      <w:r>
        <w:instrText xml:space="preserve"> PAGEREF _Toc511389191 \h </w:instrText>
      </w:r>
      <w:r>
        <w:fldChar w:fldCharType="separate"/>
      </w:r>
      <w:r>
        <w:t>10</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"_Toc511389192" </w:instrText>
      </w:r>
      <w:r>
        <w:fldChar w:fldCharType="separate"/>
      </w:r>
      <w:r>
        <w:rPr>
          <w:rStyle w:val="33"/>
        </w:rPr>
        <w:t>6.3</w:t>
      </w:r>
      <w:r>
        <w:rPr>
          <w:rStyle w:val="33"/>
          <w:rFonts w:hint="eastAsia"/>
        </w:rPr>
        <w:t xml:space="preserve"> 市场申报</w:t>
      </w:r>
      <w:r>
        <w:tab/>
      </w:r>
      <w:r>
        <w:fldChar w:fldCharType="begin"/>
      </w:r>
      <w:r>
        <w:instrText xml:space="preserve"> PAGEREF _Toc511389192 \h </w:instrText>
      </w:r>
      <w:r>
        <w:fldChar w:fldCharType="separate"/>
      </w:r>
      <w:r>
        <w:t>10</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"_Toc511389193" </w:instrText>
      </w:r>
      <w:r>
        <w:fldChar w:fldCharType="separate"/>
      </w:r>
      <w:r>
        <w:rPr>
          <w:rStyle w:val="33"/>
        </w:rPr>
        <w:t>6.3.1</w:t>
      </w:r>
      <w:r>
        <w:rPr>
          <w:rStyle w:val="33"/>
          <w:rFonts w:hint="eastAsia"/>
        </w:rPr>
        <w:t xml:space="preserve"> </w:t>
      </w:r>
      <w:r>
        <w:rPr>
          <w:rStyle w:val="33"/>
          <w:rFonts w:hint="eastAsia" w:ascii="宋体" w:hAnsi="宋体" w:eastAsia="宋体" w:cs="宋体"/>
        </w:rPr>
        <w:t>功能要求</w:t>
      </w:r>
      <w:r>
        <w:tab/>
      </w:r>
      <w:r>
        <w:fldChar w:fldCharType="begin"/>
      </w:r>
      <w:r>
        <w:instrText xml:space="preserve"> PAGEREF _Toc511389193 \h </w:instrText>
      </w:r>
      <w:r>
        <w:fldChar w:fldCharType="separate"/>
      </w:r>
      <w:r>
        <w:t>10</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"_Toc511389194" </w:instrText>
      </w:r>
      <w:r>
        <w:fldChar w:fldCharType="separate"/>
      </w:r>
      <w:r>
        <w:rPr>
          <w:rStyle w:val="33"/>
        </w:rPr>
        <w:t>6.3.2</w:t>
      </w:r>
      <w:r>
        <w:rPr>
          <w:rStyle w:val="33"/>
          <w:rFonts w:hint="eastAsia"/>
        </w:rPr>
        <w:t xml:space="preserve"> </w:t>
      </w:r>
      <w:r>
        <w:rPr>
          <w:rStyle w:val="33"/>
          <w:rFonts w:hint="eastAsia" w:ascii="宋体" w:hAnsi="宋体" w:eastAsia="宋体" w:cs="宋体"/>
        </w:rPr>
        <w:t>界面要求</w:t>
      </w:r>
      <w:r>
        <w:tab/>
      </w:r>
      <w:r>
        <w:fldChar w:fldCharType="begin"/>
      </w:r>
      <w:r>
        <w:instrText xml:space="preserve"> PAGEREF _Toc511389194 \h </w:instrText>
      </w:r>
      <w:r>
        <w:fldChar w:fldCharType="separate"/>
      </w:r>
      <w:r>
        <w:t>10</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"_Toc511389195" </w:instrText>
      </w:r>
      <w:r>
        <w:fldChar w:fldCharType="separate"/>
      </w:r>
      <w:r>
        <w:rPr>
          <w:rStyle w:val="33"/>
        </w:rPr>
        <w:t>6.3.3</w:t>
      </w:r>
      <w:r>
        <w:rPr>
          <w:rStyle w:val="33"/>
          <w:rFonts w:hint="eastAsia"/>
        </w:rPr>
        <w:t xml:space="preserve"> </w:t>
      </w:r>
      <w:r>
        <w:rPr>
          <w:rStyle w:val="33"/>
          <w:rFonts w:hint="eastAsia" w:ascii="宋体" w:hAnsi="宋体" w:eastAsia="宋体" w:cs="宋体"/>
        </w:rPr>
        <w:t>接口要求</w:t>
      </w:r>
      <w:r>
        <w:tab/>
      </w:r>
      <w:r>
        <w:fldChar w:fldCharType="begin"/>
      </w:r>
      <w:r>
        <w:instrText xml:space="preserve"> PAGEREF _Toc511389195 \h </w:instrText>
      </w:r>
      <w:r>
        <w:fldChar w:fldCharType="separate"/>
      </w:r>
      <w:r>
        <w:t>11</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"_Toc511389196" </w:instrText>
      </w:r>
      <w:r>
        <w:fldChar w:fldCharType="separate"/>
      </w:r>
      <w:r>
        <w:rPr>
          <w:rStyle w:val="33"/>
        </w:rPr>
        <w:t>6.4</w:t>
      </w:r>
      <w:r>
        <w:rPr>
          <w:rStyle w:val="33"/>
          <w:rFonts w:hint="eastAsia"/>
        </w:rPr>
        <w:t xml:space="preserve"> 信息发布</w:t>
      </w:r>
      <w:r>
        <w:tab/>
      </w:r>
      <w:r>
        <w:fldChar w:fldCharType="begin"/>
      </w:r>
      <w:r>
        <w:instrText xml:space="preserve"> PAGEREF _Toc511389196 \h </w:instrText>
      </w:r>
      <w:r>
        <w:fldChar w:fldCharType="separate"/>
      </w:r>
      <w:r>
        <w:t>11</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"_Toc511389197" </w:instrText>
      </w:r>
      <w:r>
        <w:fldChar w:fldCharType="separate"/>
      </w:r>
      <w:r>
        <w:rPr>
          <w:rStyle w:val="33"/>
        </w:rPr>
        <w:t>6.4.1</w:t>
      </w:r>
      <w:r>
        <w:rPr>
          <w:rStyle w:val="33"/>
          <w:rFonts w:hint="eastAsia"/>
        </w:rPr>
        <w:t xml:space="preserve"> </w:t>
      </w:r>
      <w:r>
        <w:rPr>
          <w:rStyle w:val="33"/>
          <w:rFonts w:hint="eastAsia" w:ascii="宋体" w:hAnsi="宋体" w:eastAsia="宋体" w:cs="宋体"/>
        </w:rPr>
        <w:t>功能要求</w:t>
      </w:r>
      <w:r>
        <w:tab/>
      </w:r>
      <w:r>
        <w:fldChar w:fldCharType="begin"/>
      </w:r>
      <w:r>
        <w:instrText xml:space="preserve"> PAGEREF _Toc511389197 \h </w:instrText>
      </w:r>
      <w:r>
        <w:fldChar w:fldCharType="separate"/>
      </w:r>
      <w:r>
        <w:t>11</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"_Toc511389198" </w:instrText>
      </w:r>
      <w:r>
        <w:fldChar w:fldCharType="separate"/>
      </w:r>
      <w:r>
        <w:rPr>
          <w:rStyle w:val="33"/>
        </w:rPr>
        <w:t>6.4.2</w:t>
      </w:r>
      <w:r>
        <w:rPr>
          <w:rStyle w:val="33"/>
          <w:rFonts w:hint="eastAsia"/>
        </w:rPr>
        <w:t xml:space="preserve"> </w:t>
      </w:r>
      <w:r>
        <w:rPr>
          <w:rStyle w:val="33"/>
          <w:rFonts w:hint="eastAsia" w:ascii="宋体" w:hAnsi="宋体" w:eastAsia="宋体" w:cs="宋体"/>
        </w:rPr>
        <w:t>界面要求</w:t>
      </w:r>
      <w:r>
        <w:tab/>
      </w:r>
      <w:r>
        <w:fldChar w:fldCharType="begin"/>
      </w:r>
      <w:r>
        <w:instrText xml:space="preserve"> PAGEREF _Toc511389198 \h </w:instrText>
      </w:r>
      <w:r>
        <w:fldChar w:fldCharType="separate"/>
      </w:r>
      <w:r>
        <w:t>11</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"_Toc511389199" </w:instrText>
      </w:r>
      <w:r>
        <w:fldChar w:fldCharType="separate"/>
      </w:r>
      <w:r>
        <w:rPr>
          <w:rStyle w:val="33"/>
        </w:rPr>
        <w:t>6.4.3</w:t>
      </w:r>
      <w:r>
        <w:rPr>
          <w:rStyle w:val="33"/>
          <w:rFonts w:hint="eastAsia"/>
        </w:rPr>
        <w:t xml:space="preserve"> </w:t>
      </w:r>
      <w:r>
        <w:rPr>
          <w:rStyle w:val="33"/>
          <w:rFonts w:hint="eastAsia" w:ascii="宋体" w:hAnsi="宋体" w:eastAsia="宋体" w:cs="宋体"/>
        </w:rPr>
        <w:t>接口要求</w:t>
      </w:r>
      <w:r>
        <w:tab/>
      </w:r>
      <w:r>
        <w:fldChar w:fldCharType="begin"/>
      </w:r>
      <w:r>
        <w:instrText xml:space="preserve"> PAGEREF _Toc511389199 \h </w:instrText>
      </w:r>
      <w:r>
        <w:fldChar w:fldCharType="separate"/>
      </w:r>
      <w:r>
        <w:t>11</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"_Toc511389200" </w:instrText>
      </w:r>
      <w:r>
        <w:fldChar w:fldCharType="separate"/>
      </w:r>
      <w:r>
        <w:rPr>
          <w:rStyle w:val="33"/>
        </w:rPr>
        <w:t>6.5</w:t>
      </w:r>
      <w:r>
        <w:rPr>
          <w:rStyle w:val="33"/>
          <w:rFonts w:hint="eastAsia"/>
        </w:rPr>
        <w:t xml:space="preserve"> 中长期合同管理</w:t>
      </w:r>
      <w:r>
        <w:tab/>
      </w:r>
      <w:r>
        <w:fldChar w:fldCharType="begin"/>
      </w:r>
      <w:r>
        <w:instrText xml:space="preserve"> PAGEREF _Toc511389200 \h </w:instrText>
      </w:r>
      <w:r>
        <w:fldChar w:fldCharType="separate"/>
      </w:r>
      <w:r>
        <w:t>12</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"_Toc511389201" </w:instrText>
      </w:r>
      <w:r>
        <w:fldChar w:fldCharType="separate"/>
      </w:r>
      <w:r>
        <w:rPr>
          <w:rStyle w:val="33"/>
        </w:rPr>
        <w:t>6.5.1</w:t>
      </w:r>
      <w:r>
        <w:rPr>
          <w:rStyle w:val="33"/>
          <w:rFonts w:hint="eastAsia"/>
        </w:rPr>
        <w:t xml:space="preserve"> </w:t>
      </w:r>
      <w:r>
        <w:rPr>
          <w:rStyle w:val="33"/>
          <w:rFonts w:hint="eastAsia" w:ascii="宋体" w:hAnsi="宋体" w:eastAsia="宋体" w:cs="宋体"/>
        </w:rPr>
        <w:t>功能要求</w:t>
      </w:r>
      <w:r>
        <w:tab/>
      </w:r>
      <w:r>
        <w:fldChar w:fldCharType="begin"/>
      </w:r>
      <w:r>
        <w:instrText xml:space="preserve"> PAGEREF _Toc511389201 \h </w:instrText>
      </w:r>
      <w:r>
        <w:fldChar w:fldCharType="separate"/>
      </w:r>
      <w:r>
        <w:t>12</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"_Toc511389202" </w:instrText>
      </w:r>
      <w:r>
        <w:fldChar w:fldCharType="separate"/>
      </w:r>
      <w:r>
        <w:rPr>
          <w:rStyle w:val="33"/>
        </w:rPr>
        <w:t>6.5.2</w:t>
      </w:r>
      <w:r>
        <w:rPr>
          <w:rStyle w:val="33"/>
          <w:rFonts w:hint="eastAsia"/>
        </w:rPr>
        <w:t xml:space="preserve"> </w:t>
      </w:r>
      <w:r>
        <w:rPr>
          <w:rStyle w:val="33"/>
          <w:rFonts w:hint="eastAsia" w:ascii="宋体" w:hAnsi="宋体" w:eastAsia="宋体" w:cs="宋体"/>
        </w:rPr>
        <w:t>界面要求</w:t>
      </w:r>
      <w:r>
        <w:tab/>
      </w:r>
      <w:r>
        <w:fldChar w:fldCharType="begin"/>
      </w:r>
      <w:r>
        <w:instrText xml:space="preserve"> PAGEREF _Toc511389202 \h </w:instrText>
      </w:r>
      <w:r>
        <w:fldChar w:fldCharType="separate"/>
      </w:r>
      <w:r>
        <w:t>12</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"_Toc511389203" </w:instrText>
      </w:r>
      <w:r>
        <w:fldChar w:fldCharType="separate"/>
      </w:r>
      <w:r>
        <w:rPr>
          <w:rStyle w:val="33"/>
        </w:rPr>
        <w:t>6.5.3</w:t>
      </w:r>
      <w:r>
        <w:rPr>
          <w:rStyle w:val="33"/>
          <w:rFonts w:hint="eastAsia"/>
        </w:rPr>
        <w:t xml:space="preserve"> </w:t>
      </w:r>
      <w:r>
        <w:rPr>
          <w:rStyle w:val="33"/>
          <w:rFonts w:hint="eastAsia" w:ascii="宋体" w:hAnsi="宋体" w:eastAsia="宋体" w:cs="宋体"/>
        </w:rPr>
        <w:t>接口要求</w:t>
      </w:r>
      <w:r>
        <w:tab/>
      </w:r>
      <w:r>
        <w:fldChar w:fldCharType="begin"/>
      </w:r>
      <w:r>
        <w:instrText xml:space="preserve"> PAGEREF _Toc511389203 \h </w:instrText>
      </w:r>
      <w:r>
        <w:fldChar w:fldCharType="separate"/>
      </w:r>
      <w:r>
        <w:t>12</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"_Toc511389204" </w:instrText>
      </w:r>
      <w:r>
        <w:fldChar w:fldCharType="separate"/>
      </w:r>
      <w:r>
        <w:rPr>
          <w:rStyle w:val="33"/>
        </w:rPr>
        <w:t>6.6</w:t>
      </w:r>
      <w:r>
        <w:rPr>
          <w:rStyle w:val="33"/>
          <w:rFonts w:hint="eastAsia"/>
        </w:rPr>
        <w:t xml:space="preserve"> 日前市场</w:t>
      </w:r>
      <w:r>
        <w:tab/>
      </w:r>
      <w:r>
        <w:fldChar w:fldCharType="begin"/>
      </w:r>
      <w:r>
        <w:instrText xml:space="preserve"> PAGEREF _Toc511389204 \h </w:instrText>
      </w:r>
      <w:r>
        <w:fldChar w:fldCharType="separate"/>
      </w:r>
      <w:r>
        <w:t>12</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"_Toc511389205" </w:instrText>
      </w:r>
      <w:r>
        <w:fldChar w:fldCharType="separate"/>
      </w:r>
      <w:r>
        <w:rPr>
          <w:rStyle w:val="33"/>
        </w:rPr>
        <w:t>6.6.1</w:t>
      </w:r>
      <w:r>
        <w:rPr>
          <w:rStyle w:val="33"/>
          <w:rFonts w:hint="eastAsia"/>
        </w:rPr>
        <w:t xml:space="preserve"> </w:t>
      </w:r>
      <w:r>
        <w:rPr>
          <w:rStyle w:val="33"/>
          <w:rFonts w:hint="eastAsia" w:ascii="宋体" w:hAnsi="宋体" w:eastAsia="宋体" w:cs="宋体"/>
        </w:rPr>
        <w:t>功能要求</w:t>
      </w:r>
      <w:r>
        <w:tab/>
      </w:r>
      <w:r>
        <w:fldChar w:fldCharType="begin"/>
      </w:r>
      <w:r>
        <w:instrText xml:space="preserve"> PAGEREF _Toc511389205 \h </w:instrText>
      </w:r>
      <w:r>
        <w:fldChar w:fldCharType="separate"/>
      </w:r>
      <w:r>
        <w:t>13</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"_Toc511389206" </w:instrText>
      </w:r>
      <w:r>
        <w:fldChar w:fldCharType="separate"/>
      </w:r>
      <w:r>
        <w:rPr>
          <w:rStyle w:val="33"/>
        </w:rPr>
        <w:t>6.6.2</w:t>
      </w:r>
      <w:r>
        <w:rPr>
          <w:rStyle w:val="33"/>
          <w:rFonts w:hint="eastAsia"/>
        </w:rPr>
        <w:t xml:space="preserve"> </w:t>
      </w:r>
      <w:r>
        <w:rPr>
          <w:rStyle w:val="33"/>
          <w:rFonts w:hint="eastAsia" w:ascii="宋体" w:hAnsi="宋体" w:eastAsia="宋体" w:cs="宋体"/>
        </w:rPr>
        <w:t>界面要求</w:t>
      </w:r>
      <w:r>
        <w:tab/>
      </w:r>
      <w:r>
        <w:fldChar w:fldCharType="begin"/>
      </w:r>
      <w:r>
        <w:instrText xml:space="preserve"> PAGEREF _Toc511389206 \h </w:instrText>
      </w:r>
      <w:r>
        <w:fldChar w:fldCharType="separate"/>
      </w:r>
      <w:r>
        <w:t>15</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"_Toc511389207" </w:instrText>
      </w:r>
      <w:r>
        <w:fldChar w:fldCharType="separate"/>
      </w:r>
      <w:r>
        <w:rPr>
          <w:rStyle w:val="33"/>
        </w:rPr>
        <w:t>6.6.3</w:t>
      </w:r>
      <w:r>
        <w:rPr>
          <w:rStyle w:val="33"/>
          <w:rFonts w:hint="eastAsia"/>
        </w:rPr>
        <w:t xml:space="preserve"> </w:t>
      </w:r>
      <w:r>
        <w:rPr>
          <w:rStyle w:val="33"/>
          <w:rFonts w:hint="eastAsia" w:ascii="宋体" w:hAnsi="宋体" w:eastAsia="宋体" w:cs="宋体"/>
        </w:rPr>
        <w:t>接口要求</w:t>
      </w:r>
      <w:r>
        <w:tab/>
      </w:r>
      <w:r>
        <w:fldChar w:fldCharType="begin"/>
      </w:r>
      <w:r>
        <w:instrText xml:space="preserve"> PAGEREF _Toc511389207 \h </w:instrText>
      </w:r>
      <w:r>
        <w:fldChar w:fldCharType="separate"/>
      </w:r>
      <w:r>
        <w:t>16</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"_Toc511389208" </w:instrText>
      </w:r>
      <w:r>
        <w:fldChar w:fldCharType="separate"/>
      </w:r>
      <w:r>
        <w:rPr>
          <w:rStyle w:val="33"/>
        </w:rPr>
        <w:t>6.7</w:t>
      </w:r>
      <w:r>
        <w:rPr>
          <w:rStyle w:val="33"/>
          <w:rFonts w:hint="eastAsia"/>
        </w:rPr>
        <w:t xml:space="preserve"> 日内市场</w:t>
      </w:r>
      <w:r>
        <w:tab/>
      </w:r>
      <w:r>
        <w:fldChar w:fldCharType="begin"/>
      </w:r>
      <w:r>
        <w:instrText xml:space="preserve"> PAGEREF _Toc511389208 \h </w:instrText>
      </w:r>
      <w:r>
        <w:fldChar w:fldCharType="separate"/>
      </w:r>
      <w:r>
        <w:t>16</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"_Toc511389209" </w:instrText>
      </w:r>
      <w:r>
        <w:fldChar w:fldCharType="separate"/>
      </w:r>
      <w:r>
        <w:rPr>
          <w:rStyle w:val="33"/>
        </w:rPr>
        <w:t>6.7.1</w:t>
      </w:r>
      <w:r>
        <w:rPr>
          <w:rStyle w:val="33"/>
          <w:rFonts w:hint="eastAsia"/>
        </w:rPr>
        <w:t xml:space="preserve"> </w:t>
      </w:r>
      <w:r>
        <w:rPr>
          <w:rStyle w:val="33"/>
          <w:rFonts w:hint="eastAsia" w:ascii="宋体" w:hAnsi="宋体" w:eastAsia="宋体" w:cs="宋体"/>
        </w:rPr>
        <w:t>功能要求</w:t>
      </w:r>
      <w:r>
        <w:tab/>
      </w:r>
      <w:r>
        <w:fldChar w:fldCharType="begin"/>
      </w:r>
      <w:r>
        <w:instrText xml:space="preserve"> PAGEREF _Toc511389209 \h </w:instrText>
      </w:r>
      <w:r>
        <w:fldChar w:fldCharType="separate"/>
      </w:r>
      <w:r>
        <w:t>16</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"_Toc511389210" </w:instrText>
      </w:r>
      <w:r>
        <w:fldChar w:fldCharType="separate"/>
      </w:r>
      <w:r>
        <w:rPr>
          <w:rStyle w:val="33"/>
        </w:rPr>
        <w:t>6.7.2</w:t>
      </w:r>
      <w:r>
        <w:rPr>
          <w:rStyle w:val="33"/>
          <w:rFonts w:hint="eastAsia"/>
        </w:rPr>
        <w:t xml:space="preserve"> </w:t>
      </w:r>
      <w:r>
        <w:rPr>
          <w:rStyle w:val="33"/>
          <w:rFonts w:hint="eastAsia" w:ascii="宋体" w:hAnsi="宋体" w:eastAsia="宋体" w:cs="宋体"/>
        </w:rPr>
        <w:t>界面要求</w:t>
      </w:r>
      <w:r>
        <w:tab/>
      </w:r>
      <w:r>
        <w:fldChar w:fldCharType="begin"/>
      </w:r>
      <w:r>
        <w:instrText xml:space="preserve"> PAGEREF _Toc511389210 \h </w:instrText>
      </w:r>
      <w:r>
        <w:fldChar w:fldCharType="separate"/>
      </w:r>
      <w:r>
        <w:t>19</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"_Toc511389211" </w:instrText>
      </w:r>
      <w:r>
        <w:fldChar w:fldCharType="separate"/>
      </w:r>
      <w:r>
        <w:rPr>
          <w:rStyle w:val="33"/>
        </w:rPr>
        <w:t>6.7.3</w:t>
      </w:r>
      <w:r>
        <w:rPr>
          <w:rStyle w:val="33"/>
          <w:rFonts w:hint="eastAsia"/>
        </w:rPr>
        <w:t xml:space="preserve"> </w:t>
      </w:r>
      <w:r>
        <w:rPr>
          <w:rStyle w:val="33"/>
          <w:rFonts w:hint="eastAsia" w:ascii="宋体" w:hAnsi="宋体" w:eastAsia="宋体" w:cs="宋体"/>
        </w:rPr>
        <w:t>接口要求</w:t>
      </w:r>
      <w:r>
        <w:tab/>
      </w:r>
      <w:r>
        <w:fldChar w:fldCharType="begin"/>
      </w:r>
      <w:r>
        <w:instrText xml:space="preserve"> PAGEREF _Toc511389211 \h </w:instrText>
      </w:r>
      <w:r>
        <w:fldChar w:fldCharType="separate"/>
      </w:r>
      <w:r>
        <w:t>19</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"_Toc511389212" </w:instrText>
      </w:r>
      <w:r>
        <w:fldChar w:fldCharType="separate"/>
      </w:r>
      <w:r>
        <w:rPr>
          <w:rStyle w:val="33"/>
        </w:rPr>
        <w:t>6.8</w:t>
      </w:r>
      <w:r>
        <w:rPr>
          <w:rStyle w:val="33"/>
          <w:rFonts w:hint="eastAsia"/>
        </w:rPr>
        <w:t xml:space="preserve"> 平衡机制</w:t>
      </w:r>
      <w:r>
        <w:tab/>
      </w:r>
      <w:r>
        <w:fldChar w:fldCharType="begin"/>
      </w:r>
      <w:r>
        <w:instrText xml:space="preserve"> PAGEREF _Toc511389212 \h </w:instrText>
      </w:r>
      <w:r>
        <w:fldChar w:fldCharType="separate"/>
      </w:r>
      <w:r>
        <w:t>20</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"_Toc511389213" </w:instrText>
      </w:r>
      <w:r>
        <w:fldChar w:fldCharType="separate"/>
      </w:r>
      <w:r>
        <w:rPr>
          <w:rStyle w:val="33"/>
        </w:rPr>
        <w:t>6.8.1</w:t>
      </w:r>
      <w:r>
        <w:rPr>
          <w:rStyle w:val="33"/>
          <w:rFonts w:hint="eastAsia"/>
        </w:rPr>
        <w:t xml:space="preserve"> </w:t>
      </w:r>
      <w:r>
        <w:rPr>
          <w:rStyle w:val="33"/>
          <w:rFonts w:hint="eastAsia" w:ascii="宋体" w:hAnsi="宋体" w:eastAsia="宋体" w:cs="宋体"/>
        </w:rPr>
        <w:t>功能要求</w:t>
      </w:r>
      <w:r>
        <w:tab/>
      </w:r>
      <w:r>
        <w:fldChar w:fldCharType="begin"/>
      </w:r>
      <w:r>
        <w:instrText xml:space="preserve"> PAGEREF _Toc511389213 \h </w:instrText>
      </w:r>
      <w:r>
        <w:fldChar w:fldCharType="separate"/>
      </w:r>
      <w:r>
        <w:t>20</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"_Toc511389214" </w:instrText>
      </w:r>
      <w:r>
        <w:fldChar w:fldCharType="separate"/>
      </w:r>
      <w:r>
        <w:rPr>
          <w:rStyle w:val="33"/>
        </w:rPr>
        <w:t>6.8.2</w:t>
      </w:r>
      <w:r>
        <w:rPr>
          <w:rStyle w:val="33"/>
          <w:rFonts w:hint="eastAsia"/>
        </w:rPr>
        <w:t xml:space="preserve"> </w:t>
      </w:r>
      <w:r>
        <w:rPr>
          <w:rStyle w:val="33"/>
          <w:rFonts w:hint="eastAsia" w:ascii="宋体" w:hAnsi="宋体" w:eastAsia="宋体" w:cs="宋体"/>
        </w:rPr>
        <w:t>界面要求</w:t>
      </w:r>
      <w:r>
        <w:tab/>
      </w:r>
      <w:r>
        <w:fldChar w:fldCharType="begin"/>
      </w:r>
      <w:r>
        <w:instrText xml:space="preserve"> PAGEREF _Toc511389214 \h </w:instrText>
      </w:r>
      <w:r>
        <w:fldChar w:fldCharType="separate"/>
      </w:r>
      <w:r>
        <w:t>22</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"_Toc511389215" </w:instrText>
      </w:r>
      <w:r>
        <w:fldChar w:fldCharType="separate"/>
      </w:r>
      <w:r>
        <w:rPr>
          <w:rStyle w:val="33"/>
        </w:rPr>
        <w:t>6.8.3</w:t>
      </w:r>
      <w:r>
        <w:rPr>
          <w:rStyle w:val="33"/>
          <w:rFonts w:hint="eastAsia"/>
        </w:rPr>
        <w:t xml:space="preserve"> </w:t>
      </w:r>
      <w:r>
        <w:rPr>
          <w:rStyle w:val="33"/>
          <w:rFonts w:hint="eastAsia" w:ascii="宋体" w:hAnsi="宋体" w:eastAsia="宋体" w:cs="宋体"/>
        </w:rPr>
        <w:t>接口要求</w:t>
      </w:r>
      <w:r>
        <w:tab/>
      </w:r>
      <w:r>
        <w:fldChar w:fldCharType="begin"/>
      </w:r>
      <w:r>
        <w:instrText xml:space="preserve"> PAGEREF _Toc511389215 \h </w:instrText>
      </w:r>
      <w:r>
        <w:fldChar w:fldCharType="separate"/>
      </w:r>
      <w:r>
        <w:t>23</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"_Toc511389216" </w:instrText>
      </w:r>
      <w:r>
        <w:fldChar w:fldCharType="separate"/>
      </w:r>
      <w:r>
        <w:rPr>
          <w:rStyle w:val="33"/>
        </w:rPr>
        <w:t>6.9</w:t>
      </w:r>
      <w:r>
        <w:rPr>
          <w:rStyle w:val="33"/>
          <w:rFonts w:hint="eastAsia"/>
        </w:rPr>
        <w:t xml:space="preserve"> 辅助服务市场</w:t>
      </w:r>
      <w:r>
        <w:tab/>
      </w:r>
      <w:r>
        <w:fldChar w:fldCharType="begin"/>
      </w:r>
      <w:r>
        <w:instrText xml:space="preserve"> PAGEREF _Toc511389216 \h </w:instrText>
      </w:r>
      <w:r>
        <w:fldChar w:fldCharType="separate"/>
      </w:r>
      <w:r>
        <w:t>23</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"_Toc511389217" </w:instrText>
      </w:r>
      <w:r>
        <w:fldChar w:fldCharType="separate"/>
      </w:r>
      <w:r>
        <w:rPr>
          <w:rStyle w:val="33"/>
        </w:rPr>
        <w:t>6.9.1</w:t>
      </w:r>
      <w:r>
        <w:rPr>
          <w:rStyle w:val="33"/>
          <w:rFonts w:hint="eastAsia"/>
        </w:rPr>
        <w:t xml:space="preserve"> </w:t>
      </w:r>
      <w:r>
        <w:rPr>
          <w:rStyle w:val="33"/>
          <w:rFonts w:hint="eastAsia" w:ascii="宋体" w:hAnsi="宋体" w:eastAsia="宋体" w:cs="宋体"/>
        </w:rPr>
        <w:t>功能要求</w:t>
      </w:r>
      <w:r>
        <w:tab/>
      </w:r>
      <w:r>
        <w:fldChar w:fldCharType="begin"/>
      </w:r>
      <w:r>
        <w:instrText xml:space="preserve"> PAGEREF _Toc511389217 \h </w:instrText>
      </w:r>
      <w:r>
        <w:fldChar w:fldCharType="separate"/>
      </w:r>
      <w:r>
        <w:t>23</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"_Toc511389218" </w:instrText>
      </w:r>
      <w:r>
        <w:fldChar w:fldCharType="separate"/>
      </w:r>
      <w:r>
        <w:rPr>
          <w:rStyle w:val="33"/>
        </w:rPr>
        <w:t>6.9.2</w:t>
      </w:r>
      <w:r>
        <w:rPr>
          <w:rStyle w:val="33"/>
          <w:rFonts w:hint="eastAsia"/>
        </w:rPr>
        <w:t xml:space="preserve"> </w:t>
      </w:r>
      <w:r>
        <w:rPr>
          <w:rStyle w:val="33"/>
          <w:rFonts w:hint="eastAsia" w:ascii="宋体" w:hAnsi="宋体" w:eastAsia="宋体" w:cs="宋体"/>
        </w:rPr>
        <w:t>界面要求</w:t>
      </w:r>
      <w:r>
        <w:tab/>
      </w:r>
      <w:r>
        <w:fldChar w:fldCharType="begin"/>
      </w:r>
      <w:r>
        <w:instrText xml:space="preserve"> PAGEREF _Toc511389218 \h </w:instrText>
      </w:r>
      <w:r>
        <w:fldChar w:fldCharType="separate"/>
      </w:r>
      <w:r>
        <w:t>24</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"_Toc511389219" </w:instrText>
      </w:r>
      <w:r>
        <w:fldChar w:fldCharType="separate"/>
      </w:r>
      <w:r>
        <w:rPr>
          <w:rStyle w:val="33"/>
        </w:rPr>
        <w:t>6.9.3</w:t>
      </w:r>
      <w:r>
        <w:rPr>
          <w:rStyle w:val="33"/>
          <w:rFonts w:hint="eastAsia"/>
        </w:rPr>
        <w:t xml:space="preserve"> </w:t>
      </w:r>
      <w:r>
        <w:rPr>
          <w:rStyle w:val="33"/>
          <w:rFonts w:hint="eastAsia" w:ascii="宋体" w:hAnsi="宋体" w:eastAsia="宋体" w:cs="宋体"/>
        </w:rPr>
        <w:t>接口要求</w:t>
      </w:r>
      <w:r>
        <w:tab/>
      </w:r>
      <w:r>
        <w:fldChar w:fldCharType="begin"/>
      </w:r>
      <w:r>
        <w:instrText xml:space="preserve"> PAGEREF _Toc511389219 \h </w:instrText>
      </w:r>
      <w:r>
        <w:fldChar w:fldCharType="separate"/>
      </w:r>
      <w:r>
        <w:t>24</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"_Toc511389220" </w:instrText>
      </w:r>
      <w:r>
        <w:fldChar w:fldCharType="separate"/>
      </w:r>
      <w:r>
        <w:rPr>
          <w:rStyle w:val="33"/>
        </w:rPr>
        <w:t>6.10</w:t>
      </w:r>
      <w:r>
        <w:rPr>
          <w:rStyle w:val="33"/>
          <w:rFonts w:hint="eastAsia"/>
        </w:rPr>
        <w:t xml:space="preserve"> 安全校核</w:t>
      </w:r>
      <w:r>
        <w:tab/>
      </w:r>
      <w:r>
        <w:fldChar w:fldCharType="begin"/>
      </w:r>
      <w:r>
        <w:instrText xml:space="preserve"> PAGEREF _Toc511389220 \h </w:instrText>
      </w:r>
      <w:r>
        <w:fldChar w:fldCharType="separate"/>
      </w:r>
      <w:r>
        <w:t>24</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"_Toc511389221" </w:instrText>
      </w:r>
      <w:r>
        <w:fldChar w:fldCharType="separate"/>
      </w:r>
      <w:r>
        <w:rPr>
          <w:rStyle w:val="33"/>
        </w:rPr>
        <w:t>6.10.1</w:t>
      </w:r>
      <w:r>
        <w:rPr>
          <w:rStyle w:val="33"/>
          <w:rFonts w:hint="eastAsia"/>
        </w:rPr>
        <w:t xml:space="preserve"> </w:t>
      </w:r>
      <w:r>
        <w:rPr>
          <w:rStyle w:val="33"/>
          <w:rFonts w:hint="eastAsia" w:ascii="宋体" w:hAnsi="宋体" w:eastAsia="宋体" w:cs="宋体"/>
        </w:rPr>
        <w:t>功能要求</w:t>
      </w:r>
      <w:r>
        <w:tab/>
      </w:r>
      <w:r>
        <w:fldChar w:fldCharType="begin"/>
      </w:r>
      <w:r>
        <w:instrText xml:space="preserve"> PAGEREF _Toc511389221 \h </w:instrText>
      </w:r>
      <w:r>
        <w:fldChar w:fldCharType="separate"/>
      </w:r>
      <w:r>
        <w:t>24</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"_Toc511389222" </w:instrText>
      </w:r>
      <w:r>
        <w:fldChar w:fldCharType="separate"/>
      </w:r>
      <w:r>
        <w:rPr>
          <w:rStyle w:val="33"/>
        </w:rPr>
        <w:t>6.10.2</w:t>
      </w:r>
      <w:r>
        <w:rPr>
          <w:rStyle w:val="33"/>
          <w:rFonts w:hint="eastAsia"/>
        </w:rPr>
        <w:t xml:space="preserve"> </w:t>
      </w:r>
      <w:r>
        <w:rPr>
          <w:rStyle w:val="33"/>
          <w:rFonts w:hint="eastAsia" w:ascii="宋体" w:hAnsi="宋体" w:eastAsia="宋体" w:cs="宋体"/>
        </w:rPr>
        <w:t>界面要求</w:t>
      </w:r>
      <w:r>
        <w:tab/>
      </w:r>
      <w:r>
        <w:fldChar w:fldCharType="begin"/>
      </w:r>
      <w:r>
        <w:instrText xml:space="preserve"> PAGEREF _Toc511389222 \h </w:instrText>
      </w:r>
      <w:r>
        <w:fldChar w:fldCharType="separate"/>
      </w:r>
      <w:r>
        <w:t>25</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"_Toc511389223" </w:instrText>
      </w:r>
      <w:r>
        <w:fldChar w:fldCharType="separate"/>
      </w:r>
      <w:r>
        <w:rPr>
          <w:rStyle w:val="33"/>
        </w:rPr>
        <w:t>6.10.3</w:t>
      </w:r>
      <w:r>
        <w:rPr>
          <w:rStyle w:val="33"/>
          <w:rFonts w:hint="eastAsia"/>
        </w:rPr>
        <w:t xml:space="preserve"> </w:t>
      </w:r>
      <w:r>
        <w:rPr>
          <w:rStyle w:val="33"/>
          <w:rFonts w:hint="eastAsia" w:ascii="宋体" w:hAnsi="宋体" w:eastAsia="宋体" w:cs="宋体"/>
        </w:rPr>
        <w:t>接口要求</w:t>
      </w:r>
      <w:r>
        <w:tab/>
      </w:r>
      <w:r>
        <w:fldChar w:fldCharType="begin"/>
      </w:r>
      <w:r>
        <w:instrText xml:space="preserve"> PAGEREF _Toc511389223 \h </w:instrText>
      </w:r>
      <w:r>
        <w:fldChar w:fldCharType="separate"/>
      </w:r>
      <w:r>
        <w:t>26</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"_Toc511389224" </w:instrText>
      </w:r>
      <w:r>
        <w:fldChar w:fldCharType="separate"/>
      </w:r>
      <w:r>
        <w:rPr>
          <w:rStyle w:val="33"/>
        </w:rPr>
        <w:t>6.11</w:t>
      </w:r>
      <w:r>
        <w:rPr>
          <w:rStyle w:val="33"/>
          <w:rFonts w:hint="eastAsia"/>
        </w:rPr>
        <w:t xml:space="preserve"> 市场评估分析</w:t>
      </w:r>
      <w:r>
        <w:tab/>
      </w:r>
      <w:r>
        <w:fldChar w:fldCharType="begin"/>
      </w:r>
      <w:r>
        <w:instrText xml:space="preserve"> PAGEREF _Toc511389224 \h </w:instrText>
      </w:r>
      <w:r>
        <w:fldChar w:fldCharType="separate"/>
      </w:r>
      <w:r>
        <w:t>26</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"_Toc511389225" </w:instrText>
      </w:r>
      <w:r>
        <w:fldChar w:fldCharType="separate"/>
      </w:r>
      <w:r>
        <w:rPr>
          <w:rStyle w:val="33"/>
        </w:rPr>
        <w:t>6.11.1</w:t>
      </w:r>
      <w:r>
        <w:rPr>
          <w:rStyle w:val="33"/>
          <w:rFonts w:hint="eastAsia"/>
        </w:rPr>
        <w:t xml:space="preserve"> </w:t>
      </w:r>
      <w:r>
        <w:rPr>
          <w:rStyle w:val="33"/>
          <w:rFonts w:hint="eastAsia" w:ascii="宋体" w:hAnsi="宋体" w:eastAsia="宋体" w:cs="宋体"/>
        </w:rPr>
        <w:t>功能要求</w:t>
      </w:r>
      <w:r>
        <w:tab/>
      </w:r>
      <w:r>
        <w:fldChar w:fldCharType="begin"/>
      </w:r>
      <w:r>
        <w:instrText xml:space="preserve"> PAGEREF _Toc511389225 \h </w:instrText>
      </w:r>
      <w:r>
        <w:fldChar w:fldCharType="separate"/>
      </w:r>
      <w:r>
        <w:t>26</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"_Toc511389226" </w:instrText>
      </w:r>
      <w:r>
        <w:fldChar w:fldCharType="separate"/>
      </w:r>
      <w:r>
        <w:rPr>
          <w:rStyle w:val="33"/>
        </w:rPr>
        <w:t>6.11.2</w:t>
      </w:r>
      <w:r>
        <w:rPr>
          <w:rStyle w:val="33"/>
          <w:rFonts w:hint="eastAsia"/>
        </w:rPr>
        <w:t xml:space="preserve"> </w:t>
      </w:r>
      <w:r>
        <w:rPr>
          <w:rStyle w:val="33"/>
          <w:rFonts w:hint="eastAsia" w:ascii="宋体" w:hAnsi="宋体" w:eastAsia="宋体" w:cs="宋体"/>
        </w:rPr>
        <w:t>界面要求</w:t>
      </w:r>
      <w:r>
        <w:tab/>
      </w:r>
      <w:r>
        <w:fldChar w:fldCharType="begin"/>
      </w:r>
      <w:r>
        <w:instrText xml:space="preserve"> PAGEREF _Toc511389226 \h </w:instrText>
      </w:r>
      <w:r>
        <w:fldChar w:fldCharType="separate"/>
      </w:r>
      <w:r>
        <w:t>27</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"_Toc511389227" </w:instrText>
      </w:r>
      <w:r>
        <w:fldChar w:fldCharType="separate"/>
      </w:r>
      <w:r>
        <w:rPr>
          <w:rStyle w:val="33"/>
        </w:rPr>
        <w:t>6.11.3</w:t>
      </w:r>
      <w:r>
        <w:rPr>
          <w:rStyle w:val="33"/>
          <w:rFonts w:hint="eastAsia"/>
        </w:rPr>
        <w:t xml:space="preserve"> </w:t>
      </w:r>
      <w:r>
        <w:rPr>
          <w:rStyle w:val="33"/>
          <w:rFonts w:hint="eastAsia" w:ascii="宋体" w:hAnsi="宋体" w:eastAsia="宋体" w:cs="宋体"/>
        </w:rPr>
        <w:t>接口要求</w:t>
      </w:r>
      <w:r>
        <w:tab/>
      </w:r>
      <w:r>
        <w:fldChar w:fldCharType="begin"/>
      </w:r>
      <w:r>
        <w:instrText xml:space="preserve"> PAGEREF _Toc511389227 \h </w:instrText>
      </w:r>
      <w:r>
        <w:fldChar w:fldCharType="separate"/>
      </w:r>
      <w:r>
        <w:t>27</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"_Toc511389228" </w:instrText>
      </w:r>
      <w:r>
        <w:fldChar w:fldCharType="separate"/>
      </w:r>
      <w:r>
        <w:rPr>
          <w:rStyle w:val="33"/>
        </w:rPr>
        <w:t>6.12</w:t>
      </w:r>
      <w:r>
        <w:rPr>
          <w:rStyle w:val="33"/>
          <w:rFonts w:hint="eastAsia"/>
        </w:rPr>
        <w:t xml:space="preserve"> 市场风险管控</w:t>
      </w:r>
      <w:r>
        <w:tab/>
      </w:r>
      <w:r>
        <w:fldChar w:fldCharType="begin"/>
      </w:r>
      <w:r>
        <w:instrText xml:space="preserve"> PAGEREF _Toc511389228 \h </w:instrText>
      </w:r>
      <w:r>
        <w:fldChar w:fldCharType="separate"/>
      </w:r>
      <w:r>
        <w:t>27</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"_Toc511389229" </w:instrText>
      </w:r>
      <w:r>
        <w:fldChar w:fldCharType="separate"/>
      </w:r>
      <w:r>
        <w:rPr>
          <w:rStyle w:val="33"/>
        </w:rPr>
        <w:t>6.12.1</w:t>
      </w:r>
      <w:r>
        <w:rPr>
          <w:rStyle w:val="33"/>
          <w:rFonts w:hint="eastAsia"/>
        </w:rPr>
        <w:t xml:space="preserve"> </w:t>
      </w:r>
      <w:r>
        <w:rPr>
          <w:rStyle w:val="33"/>
          <w:rFonts w:hint="eastAsia" w:ascii="宋体" w:hAnsi="宋体" w:eastAsia="宋体" w:cs="宋体"/>
        </w:rPr>
        <w:t>功能要求</w:t>
      </w:r>
      <w:r>
        <w:tab/>
      </w:r>
      <w:r>
        <w:fldChar w:fldCharType="begin"/>
      </w:r>
      <w:r>
        <w:instrText xml:space="preserve"> PAGEREF _Toc511389229 \h </w:instrText>
      </w:r>
      <w:r>
        <w:fldChar w:fldCharType="separate"/>
      </w:r>
      <w:r>
        <w:t>27</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"_Toc511389230" </w:instrText>
      </w:r>
      <w:r>
        <w:fldChar w:fldCharType="separate"/>
      </w:r>
      <w:r>
        <w:rPr>
          <w:rStyle w:val="33"/>
        </w:rPr>
        <w:t>6.12.2</w:t>
      </w:r>
      <w:r>
        <w:rPr>
          <w:rStyle w:val="33"/>
          <w:rFonts w:hint="eastAsia"/>
        </w:rPr>
        <w:t xml:space="preserve"> </w:t>
      </w:r>
      <w:r>
        <w:rPr>
          <w:rStyle w:val="33"/>
          <w:rFonts w:hint="eastAsia" w:ascii="宋体" w:hAnsi="宋体" w:eastAsia="宋体" w:cs="宋体"/>
        </w:rPr>
        <w:t>界面要求</w:t>
      </w:r>
      <w:r>
        <w:tab/>
      </w:r>
      <w:r>
        <w:fldChar w:fldCharType="begin"/>
      </w:r>
      <w:r>
        <w:instrText xml:space="preserve"> PAGEREF _Toc511389230 \h </w:instrText>
      </w:r>
      <w:r>
        <w:fldChar w:fldCharType="separate"/>
      </w:r>
      <w:r>
        <w:t>28</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"_Toc511389231" </w:instrText>
      </w:r>
      <w:r>
        <w:fldChar w:fldCharType="separate"/>
      </w:r>
      <w:r>
        <w:rPr>
          <w:rStyle w:val="33"/>
        </w:rPr>
        <w:t>6.12.3</w:t>
      </w:r>
      <w:r>
        <w:rPr>
          <w:rStyle w:val="33"/>
          <w:rFonts w:hint="eastAsia"/>
        </w:rPr>
        <w:t xml:space="preserve"> </w:t>
      </w:r>
      <w:r>
        <w:rPr>
          <w:rStyle w:val="33"/>
          <w:rFonts w:hint="eastAsia" w:ascii="宋体" w:hAnsi="宋体" w:eastAsia="宋体" w:cs="宋体"/>
        </w:rPr>
        <w:t>接口要求</w:t>
      </w:r>
      <w:r>
        <w:tab/>
      </w:r>
      <w:r>
        <w:fldChar w:fldCharType="begin"/>
      </w:r>
      <w:r>
        <w:instrText xml:space="preserve"> PAGEREF _Toc511389231 \h </w:instrText>
      </w:r>
      <w:r>
        <w:fldChar w:fldCharType="separate"/>
      </w:r>
      <w:r>
        <w:t>28</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"_Toc511389232" </w:instrText>
      </w:r>
      <w:r>
        <w:fldChar w:fldCharType="separate"/>
      </w:r>
      <w:r>
        <w:rPr>
          <w:rStyle w:val="33"/>
        </w:rPr>
        <w:t>6.13</w:t>
      </w:r>
      <w:r>
        <w:rPr>
          <w:rStyle w:val="33"/>
          <w:rFonts w:hint="eastAsia"/>
        </w:rPr>
        <w:t xml:space="preserve"> 市场监管</w:t>
      </w:r>
      <w:r>
        <w:tab/>
      </w:r>
      <w:r>
        <w:fldChar w:fldCharType="begin"/>
      </w:r>
      <w:r>
        <w:instrText xml:space="preserve"> PAGEREF _Toc511389232 \h </w:instrText>
      </w:r>
      <w:r>
        <w:fldChar w:fldCharType="separate"/>
      </w:r>
      <w:r>
        <w:t>28</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"_Toc511389233" </w:instrText>
      </w:r>
      <w:r>
        <w:fldChar w:fldCharType="separate"/>
      </w:r>
      <w:r>
        <w:rPr>
          <w:rStyle w:val="33"/>
        </w:rPr>
        <w:t>6.13.1</w:t>
      </w:r>
      <w:r>
        <w:rPr>
          <w:rStyle w:val="33"/>
          <w:rFonts w:hint="eastAsia"/>
        </w:rPr>
        <w:t xml:space="preserve"> </w:t>
      </w:r>
      <w:r>
        <w:rPr>
          <w:rStyle w:val="33"/>
          <w:rFonts w:hint="eastAsia" w:ascii="宋体" w:hAnsi="宋体" w:eastAsia="宋体" w:cs="宋体"/>
        </w:rPr>
        <w:t>功能要求</w:t>
      </w:r>
      <w:r>
        <w:tab/>
      </w:r>
      <w:r>
        <w:fldChar w:fldCharType="begin"/>
      </w:r>
      <w:r>
        <w:instrText xml:space="preserve"> PAGEREF _Toc511389233 \h </w:instrText>
      </w:r>
      <w:r>
        <w:fldChar w:fldCharType="separate"/>
      </w:r>
      <w:r>
        <w:t>29</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"_Toc511389234" </w:instrText>
      </w:r>
      <w:r>
        <w:fldChar w:fldCharType="separate"/>
      </w:r>
      <w:r>
        <w:rPr>
          <w:rStyle w:val="33"/>
        </w:rPr>
        <w:t>6.13.2</w:t>
      </w:r>
      <w:r>
        <w:rPr>
          <w:rStyle w:val="33"/>
          <w:rFonts w:hint="eastAsia"/>
        </w:rPr>
        <w:t xml:space="preserve"> </w:t>
      </w:r>
      <w:r>
        <w:rPr>
          <w:rStyle w:val="33"/>
          <w:rFonts w:hint="eastAsia" w:ascii="宋体" w:hAnsi="宋体" w:eastAsia="宋体" w:cs="宋体"/>
        </w:rPr>
        <w:t>界面要求</w:t>
      </w:r>
      <w:r>
        <w:tab/>
      </w:r>
      <w:r>
        <w:fldChar w:fldCharType="begin"/>
      </w:r>
      <w:r>
        <w:instrText xml:space="preserve"> PAGEREF _Toc511389234 \h </w:instrText>
      </w:r>
      <w:r>
        <w:fldChar w:fldCharType="separate"/>
      </w:r>
      <w:r>
        <w:t>30</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"_Toc511389235" </w:instrText>
      </w:r>
      <w:r>
        <w:fldChar w:fldCharType="separate"/>
      </w:r>
      <w:r>
        <w:rPr>
          <w:rStyle w:val="33"/>
        </w:rPr>
        <w:t>6.13.3</w:t>
      </w:r>
      <w:r>
        <w:rPr>
          <w:rStyle w:val="33"/>
          <w:rFonts w:hint="eastAsia"/>
        </w:rPr>
        <w:t xml:space="preserve"> </w:t>
      </w:r>
      <w:r>
        <w:rPr>
          <w:rStyle w:val="33"/>
          <w:rFonts w:hint="eastAsia" w:ascii="宋体" w:hAnsi="宋体" w:eastAsia="宋体" w:cs="宋体"/>
        </w:rPr>
        <w:t>接口要求</w:t>
      </w:r>
      <w:r>
        <w:tab/>
      </w:r>
      <w:r>
        <w:fldChar w:fldCharType="begin"/>
      </w:r>
      <w:r>
        <w:instrText xml:space="preserve"> PAGEREF _Toc511389235 \h </w:instrText>
      </w:r>
      <w:r>
        <w:fldChar w:fldCharType="separate"/>
      </w:r>
      <w:r>
        <w:t>30</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"_Toc511389236" </w:instrText>
      </w:r>
      <w:r>
        <w:fldChar w:fldCharType="separate"/>
      </w:r>
      <w:r>
        <w:rPr>
          <w:rStyle w:val="33"/>
        </w:rPr>
        <w:t>6.14</w:t>
      </w:r>
      <w:r>
        <w:rPr>
          <w:rStyle w:val="33"/>
          <w:rFonts w:hint="eastAsia"/>
        </w:rPr>
        <w:t xml:space="preserve"> 系统管理</w:t>
      </w:r>
      <w:r>
        <w:tab/>
      </w:r>
      <w:r>
        <w:fldChar w:fldCharType="begin"/>
      </w:r>
      <w:r>
        <w:instrText xml:space="preserve"> PAGEREF _Toc511389236 \h </w:instrText>
      </w:r>
      <w:r>
        <w:fldChar w:fldCharType="separate"/>
      </w:r>
      <w:r>
        <w:t>30</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"_Toc511389237" </w:instrText>
      </w:r>
      <w:r>
        <w:fldChar w:fldCharType="separate"/>
      </w:r>
      <w:r>
        <w:rPr>
          <w:rStyle w:val="33"/>
        </w:rPr>
        <w:t>6.14.1</w:t>
      </w:r>
      <w:r>
        <w:rPr>
          <w:rStyle w:val="33"/>
          <w:rFonts w:hint="eastAsia"/>
        </w:rPr>
        <w:t xml:space="preserve"> </w:t>
      </w:r>
      <w:r>
        <w:rPr>
          <w:rStyle w:val="33"/>
          <w:rFonts w:hint="eastAsia" w:ascii="宋体" w:hAnsi="宋体" w:eastAsia="宋体" w:cs="宋体"/>
        </w:rPr>
        <w:t>功能要求</w:t>
      </w:r>
      <w:r>
        <w:tab/>
      </w:r>
      <w:r>
        <w:fldChar w:fldCharType="begin"/>
      </w:r>
      <w:r>
        <w:instrText xml:space="preserve"> PAGEREF _Toc511389237 \h </w:instrText>
      </w:r>
      <w:r>
        <w:fldChar w:fldCharType="separate"/>
      </w:r>
      <w:r>
        <w:t>30</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"_Toc511389238" </w:instrText>
      </w:r>
      <w:r>
        <w:fldChar w:fldCharType="separate"/>
      </w:r>
      <w:r>
        <w:rPr>
          <w:rStyle w:val="33"/>
        </w:rPr>
        <w:t>6.14.2</w:t>
      </w:r>
      <w:r>
        <w:rPr>
          <w:rStyle w:val="33"/>
          <w:rFonts w:hint="eastAsia"/>
        </w:rPr>
        <w:t xml:space="preserve"> </w:t>
      </w:r>
      <w:r>
        <w:rPr>
          <w:rStyle w:val="33"/>
          <w:rFonts w:hint="eastAsia" w:ascii="宋体" w:hAnsi="宋体" w:eastAsia="宋体" w:cs="宋体"/>
        </w:rPr>
        <w:t>界面要求</w:t>
      </w:r>
      <w:r>
        <w:tab/>
      </w:r>
      <w:r>
        <w:fldChar w:fldCharType="begin"/>
      </w:r>
      <w:r>
        <w:instrText xml:space="preserve"> PAGEREF _Toc511389238 \h </w:instrText>
      </w:r>
      <w:r>
        <w:fldChar w:fldCharType="separate"/>
      </w:r>
      <w:r>
        <w:t>31</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"_Toc511389239" </w:instrText>
      </w:r>
      <w:r>
        <w:fldChar w:fldCharType="separate"/>
      </w:r>
      <w:r>
        <w:rPr>
          <w:rStyle w:val="33"/>
        </w:rPr>
        <w:t>6.14.3</w:t>
      </w:r>
      <w:r>
        <w:rPr>
          <w:rStyle w:val="33"/>
          <w:rFonts w:hint="eastAsia"/>
        </w:rPr>
        <w:t xml:space="preserve"> </w:t>
      </w:r>
      <w:r>
        <w:rPr>
          <w:rStyle w:val="33"/>
          <w:rFonts w:hint="eastAsia" w:ascii="宋体" w:hAnsi="宋体" w:eastAsia="宋体" w:cs="宋体"/>
        </w:rPr>
        <w:t>接口要求</w:t>
      </w:r>
      <w:r>
        <w:tab/>
      </w:r>
      <w:r>
        <w:fldChar w:fldCharType="begin"/>
      </w:r>
      <w:r>
        <w:instrText xml:space="preserve"> PAGEREF _Toc511389239 \h </w:instrText>
      </w:r>
      <w:r>
        <w:fldChar w:fldCharType="separate"/>
      </w:r>
      <w:r>
        <w:t>31</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"_Toc511389240" </w:instrText>
      </w:r>
      <w:r>
        <w:fldChar w:fldCharType="separate"/>
      </w:r>
      <w:r>
        <w:rPr>
          <w:rStyle w:val="33"/>
        </w:rPr>
        <w:t>6.15</w:t>
      </w:r>
      <w:r>
        <w:rPr>
          <w:rStyle w:val="33"/>
          <w:rFonts w:hint="eastAsia"/>
        </w:rPr>
        <w:t xml:space="preserve"> 市场成员服务</w:t>
      </w:r>
      <w:r>
        <w:tab/>
      </w:r>
      <w:r>
        <w:fldChar w:fldCharType="begin"/>
      </w:r>
      <w:r>
        <w:instrText xml:space="preserve"> PAGEREF _Toc511389240 \h </w:instrText>
      </w:r>
      <w:r>
        <w:fldChar w:fldCharType="separate"/>
      </w:r>
      <w:r>
        <w:t>31</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"_Toc511389241" </w:instrText>
      </w:r>
      <w:r>
        <w:fldChar w:fldCharType="separate"/>
      </w:r>
      <w:r>
        <w:rPr>
          <w:rStyle w:val="33"/>
        </w:rPr>
        <w:t>6.15.1</w:t>
      </w:r>
      <w:r>
        <w:rPr>
          <w:rStyle w:val="33"/>
          <w:rFonts w:hint="eastAsia"/>
        </w:rPr>
        <w:t xml:space="preserve"> </w:t>
      </w:r>
      <w:r>
        <w:rPr>
          <w:rStyle w:val="33"/>
          <w:rFonts w:hint="eastAsia" w:ascii="宋体" w:hAnsi="宋体" w:eastAsia="宋体" w:cs="宋体"/>
        </w:rPr>
        <w:t>功能要求</w:t>
      </w:r>
      <w:r>
        <w:tab/>
      </w:r>
      <w:r>
        <w:fldChar w:fldCharType="begin"/>
      </w:r>
      <w:r>
        <w:instrText xml:space="preserve"> PAGEREF _Toc511389241 \h </w:instrText>
      </w:r>
      <w:r>
        <w:fldChar w:fldCharType="separate"/>
      </w:r>
      <w:r>
        <w:t>31</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"_Toc511389242" </w:instrText>
      </w:r>
      <w:r>
        <w:fldChar w:fldCharType="separate"/>
      </w:r>
      <w:r>
        <w:rPr>
          <w:rStyle w:val="33"/>
        </w:rPr>
        <w:t>6.15.2</w:t>
      </w:r>
      <w:r>
        <w:rPr>
          <w:rStyle w:val="33"/>
          <w:rFonts w:hint="eastAsia"/>
        </w:rPr>
        <w:t xml:space="preserve"> </w:t>
      </w:r>
      <w:r>
        <w:rPr>
          <w:rStyle w:val="33"/>
          <w:rFonts w:hint="eastAsia" w:ascii="宋体" w:hAnsi="宋体" w:eastAsia="宋体" w:cs="宋体"/>
        </w:rPr>
        <w:t>界面要求</w:t>
      </w:r>
      <w:r>
        <w:tab/>
      </w:r>
      <w:r>
        <w:fldChar w:fldCharType="begin"/>
      </w:r>
      <w:r>
        <w:instrText xml:space="preserve"> PAGEREF _Toc511389242 \h </w:instrText>
      </w:r>
      <w:r>
        <w:fldChar w:fldCharType="separate"/>
      </w:r>
      <w:r>
        <w:t>32</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"_Toc511389243" </w:instrText>
      </w:r>
      <w:r>
        <w:fldChar w:fldCharType="separate"/>
      </w:r>
      <w:r>
        <w:rPr>
          <w:rStyle w:val="33"/>
        </w:rPr>
        <w:t>6.16</w:t>
      </w:r>
      <w:r>
        <w:rPr>
          <w:rStyle w:val="33"/>
          <w:rFonts w:hint="eastAsia"/>
        </w:rPr>
        <w:t xml:space="preserve"> 电力现货市场运营系统部署结构</w:t>
      </w:r>
      <w:r>
        <w:tab/>
      </w:r>
      <w:r>
        <w:fldChar w:fldCharType="begin"/>
      </w:r>
      <w:r>
        <w:instrText xml:space="preserve"> PAGEREF _Toc511389243 \h </w:instrText>
      </w:r>
      <w:r>
        <w:fldChar w:fldCharType="separate"/>
      </w:r>
      <w:r>
        <w:t>32</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"_Toc511389244" </w:instrText>
      </w:r>
      <w:r>
        <w:fldChar w:fldCharType="separate"/>
      </w:r>
      <w:r>
        <w:rPr>
          <w:rStyle w:val="33"/>
        </w:rPr>
        <w:t>6.17</w:t>
      </w:r>
      <w:r>
        <w:rPr>
          <w:rStyle w:val="33"/>
          <w:rFonts w:hint="eastAsia"/>
        </w:rPr>
        <w:t xml:space="preserve"> 与其它电力现货市场运营系统衔接</w:t>
      </w:r>
      <w:r>
        <w:tab/>
      </w:r>
      <w:r>
        <w:fldChar w:fldCharType="begin"/>
      </w:r>
      <w:r>
        <w:instrText xml:space="preserve"> PAGEREF _Toc511389244 \h </w:instrText>
      </w:r>
      <w:r>
        <w:fldChar w:fldCharType="separate"/>
      </w:r>
      <w:r>
        <w:t>33</w:t>
      </w:r>
      <w:r>
        <w:fldChar w:fldCharType="end"/>
      </w:r>
      <w:r>
        <w:fldChar w:fldCharType="end"/>
      </w:r>
    </w:p>
    <w:p>
      <w:pPr>
        <w:pStyle w:val="24"/>
        <w:rPr>
          <w:rFonts w:asciiTheme="minorHAnsi" w:hAnsiTheme="minorHAnsi" w:eastAsiaTheme="minorEastAsia" w:cstheme="minorBidi"/>
          <w:sz w:val="21"/>
          <w:szCs w:val="22"/>
        </w:rPr>
      </w:pPr>
      <w:r>
        <w:fldChar w:fldCharType="begin"/>
      </w:r>
      <w:r>
        <w:instrText xml:space="preserve"> HYPERLINK \l "_Toc511389245" </w:instrText>
      </w:r>
      <w:r>
        <w:fldChar w:fldCharType="separate"/>
      </w:r>
      <w:r>
        <w:rPr>
          <w:rStyle w:val="33"/>
        </w:rPr>
        <w:t>7</w:t>
      </w:r>
      <w:r>
        <w:rPr>
          <w:rStyle w:val="33"/>
          <w:rFonts w:hint="eastAsia"/>
        </w:rPr>
        <w:t xml:space="preserve"> 与外部系统数据交互</w:t>
      </w:r>
      <w:r>
        <w:tab/>
      </w:r>
      <w:r>
        <w:fldChar w:fldCharType="begin"/>
      </w:r>
      <w:r>
        <w:instrText xml:space="preserve"> PAGEREF _Toc511389245 \h </w:instrText>
      </w:r>
      <w:r>
        <w:fldChar w:fldCharType="separate"/>
      </w:r>
      <w:r>
        <w:t>34</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"_Toc511389246" </w:instrText>
      </w:r>
      <w:r>
        <w:fldChar w:fldCharType="separate"/>
      </w:r>
      <w:r>
        <w:rPr>
          <w:rStyle w:val="33"/>
        </w:rPr>
        <w:t>7.1</w:t>
      </w:r>
      <w:r>
        <w:rPr>
          <w:rStyle w:val="33"/>
          <w:rFonts w:hint="eastAsia"/>
        </w:rPr>
        <w:t xml:space="preserve"> 与</w:t>
      </w:r>
      <w:r>
        <w:rPr>
          <w:rStyle w:val="33"/>
        </w:rPr>
        <w:t>EMS</w:t>
      </w:r>
      <w:r>
        <w:rPr>
          <w:rStyle w:val="33"/>
          <w:rFonts w:hint="eastAsia"/>
        </w:rPr>
        <w:t>系统数据交互</w:t>
      </w:r>
      <w:r>
        <w:tab/>
      </w:r>
      <w:r>
        <w:fldChar w:fldCharType="begin"/>
      </w:r>
      <w:r>
        <w:instrText xml:space="preserve"> PAGEREF _Toc511389246 \h </w:instrText>
      </w:r>
      <w:r>
        <w:fldChar w:fldCharType="separate"/>
      </w:r>
      <w:r>
        <w:t>34</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"_Toc511389247" </w:instrText>
      </w:r>
      <w:r>
        <w:fldChar w:fldCharType="separate"/>
      </w:r>
      <w:r>
        <w:rPr>
          <w:rStyle w:val="33"/>
        </w:rPr>
        <w:t>7.2</w:t>
      </w:r>
      <w:r>
        <w:rPr>
          <w:rStyle w:val="33"/>
          <w:rFonts w:hint="eastAsia"/>
        </w:rPr>
        <w:t xml:space="preserve"> 与</w:t>
      </w:r>
      <w:r>
        <w:rPr>
          <w:rStyle w:val="33"/>
        </w:rPr>
        <w:t>OMS</w:t>
      </w:r>
      <w:r>
        <w:rPr>
          <w:rStyle w:val="33"/>
          <w:rFonts w:hint="eastAsia"/>
        </w:rPr>
        <w:t>系统数据交互</w:t>
      </w:r>
      <w:r>
        <w:tab/>
      </w:r>
      <w:r>
        <w:fldChar w:fldCharType="begin"/>
      </w:r>
      <w:r>
        <w:instrText xml:space="preserve"> PAGEREF _Toc511389247 \h </w:instrText>
      </w:r>
      <w:r>
        <w:fldChar w:fldCharType="separate"/>
      </w:r>
      <w:r>
        <w:t>34</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"_Toc511389248" </w:instrText>
      </w:r>
      <w:r>
        <w:fldChar w:fldCharType="separate"/>
      </w:r>
      <w:r>
        <w:rPr>
          <w:rStyle w:val="33"/>
        </w:rPr>
        <w:t>7.3</w:t>
      </w:r>
      <w:r>
        <w:rPr>
          <w:rStyle w:val="33"/>
          <w:rFonts w:hint="eastAsia"/>
        </w:rPr>
        <w:t xml:space="preserve"> 与中长期电力交易平台数据交互</w:t>
      </w:r>
      <w:r>
        <w:tab/>
      </w:r>
      <w:r>
        <w:fldChar w:fldCharType="begin"/>
      </w:r>
      <w:r>
        <w:instrText xml:space="preserve"> PAGEREF _Toc511389248 \h </w:instrText>
      </w:r>
      <w:r>
        <w:fldChar w:fldCharType="separate"/>
      </w:r>
      <w:r>
        <w:t>34</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"_Toc511389249" </w:instrText>
      </w:r>
      <w:r>
        <w:fldChar w:fldCharType="separate"/>
      </w:r>
      <w:r>
        <w:rPr>
          <w:rStyle w:val="33"/>
        </w:rPr>
        <w:t>7.4</w:t>
      </w:r>
      <w:r>
        <w:rPr>
          <w:rStyle w:val="33"/>
          <w:rFonts w:hint="eastAsia"/>
        </w:rPr>
        <w:t xml:space="preserve"> 与电量计量系统数据交互</w:t>
      </w:r>
      <w:r>
        <w:tab/>
      </w:r>
      <w:r>
        <w:fldChar w:fldCharType="begin"/>
      </w:r>
      <w:r>
        <w:instrText xml:space="preserve"> PAGEREF _Toc511389249 \h </w:instrText>
      </w:r>
      <w:r>
        <w:fldChar w:fldCharType="separate"/>
      </w:r>
      <w:r>
        <w:t>34</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"_Toc511389250" </w:instrText>
      </w:r>
      <w:r>
        <w:fldChar w:fldCharType="separate"/>
      </w:r>
      <w:r>
        <w:rPr>
          <w:rStyle w:val="33"/>
        </w:rPr>
        <w:t>7.5</w:t>
      </w:r>
      <w:r>
        <w:rPr>
          <w:rStyle w:val="33"/>
          <w:rFonts w:hint="eastAsia"/>
        </w:rPr>
        <w:t xml:space="preserve"> 与电力现货市场结算系统数据交互</w:t>
      </w:r>
      <w:r>
        <w:tab/>
      </w:r>
      <w:r>
        <w:fldChar w:fldCharType="begin"/>
      </w:r>
      <w:r>
        <w:instrText xml:space="preserve"> PAGEREF _Toc511389250 \h </w:instrText>
      </w:r>
      <w:r>
        <w:fldChar w:fldCharType="separate"/>
      </w:r>
      <w:r>
        <w:t>34</w:t>
      </w:r>
      <w:r>
        <w:fldChar w:fldCharType="end"/>
      </w:r>
      <w:r>
        <w:fldChar w:fldCharType="end"/>
      </w:r>
    </w:p>
    <w:p>
      <w:pPr>
        <w:pStyle w:val="24"/>
        <w:rPr>
          <w:rFonts w:asciiTheme="minorHAnsi" w:hAnsiTheme="minorHAnsi" w:eastAsiaTheme="minorEastAsia" w:cstheme="minorBidi"/>
          <w:sz w:val="21"/>
          <w:szCs w:val="22"/>
        </w:rPr>
      </w:pPr>
      <w:r>
        <w:fldChar w:fldCharType="begin"/>
      </w:r>
      <w:r>
        <w:instrText xml:space="preserve"> HYPERLINK \l "_Toc511389251" </w:instrText>
      </w:r>
      <w:r>
        <w:fldChar w:fldCharType="separate"/>
      </w:r>
      <w:r>
        <w:rPr>
          <w:rStyle w:val="33"/>
        </w:rPr>
        <w:t>8</w:t>
      </w:r>
      <w:r>
        <w:rPr>
          <w:rStyle w:val="33"/>
          <w:rFonts w:hint="eastAsia"/>
        </w:rPr>
        <w:t xml:space="preserve"> 安全防护</w:t>
      </w:r>
      <w:r>
        <w:tab/>
      </w:r>
      <w:r>
        <w:fldChar w:fldCharType="begin"/>
      </w:r>
      <w:r>
        <w:instrText xml:space="preserve"> PAGEREF _Toc511389251 \h </w:instrText>
      </w:r>
      <w:r>
        <w:fldChar w:fldCharType="separate"/>
      </w:r>
      <w:r>
        <w:t>34</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"_Toc511389252" </w:instrText>
      </w:r>
      <w:r>
        <w:fldChar w:fldCharType="separate"/>
      </w:r>
      <w:r>
        <w:rPr>
          <w:rStyle w:val="33"/>
        </w:rPr>
        <w:t>8.1</w:t>
      </w:r>
      <w:r>
        <w:rPr>
          <w:rStyle w:val="33"/>
          <w:rFonts w:hint="eastAsia"/>
        </w:rPr>
        <w:t xml:space="preserve"> 总体要求</w:t>
      </w:r>
      <w:r>
        <w:tab/>
      </w:r>
      <w:r>
        <w:fldChar w:fldCharType="begin"/>
      </w:r>
      <w:r>
        <w:instrText xml:space="preserve"> PAGEREF _Toc511389252 \h </w:instrText>
      </w:r>
      <w:r>
        <w:fldChar w:fldCharType="separate"/>
      </w:r>
      <w:r>
        <w:t>34</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"_Toc511389253" </w:instrText>
      </w:r>
      <w:r>
        <w:fldChar w:fldCharType="separate"/>
      </w:r>
      <w:r>
        <w:rPr>
          <w:rStyle w:val="33"/>
        </w:rPr>
        <w:t>8.2</w:t>
      </w:r>
      <w:r>
        <w:rPr>
          <w:rStyle w:val="33"/>
          <w:rFonts w:hint="eastAsia"/>
        </w:rPr>
        <w:t xml:space="preserve"> 网络安全</w:t>
      </w:r>
      <w:r>
        <w:tab/>
      </w:r>
      <w:r>
        <w:fldChar w:fldCharType="begin"/>
      </w:r>
      <w:r>
        <w:instrText xml:space="preserve"> PAGEREF _Toc511389253 \h </w:instrText>
      </w:r>
      <w:r>
        <w:fldChar w:fldCharType="separate"/>
      </w:r>
      <w:r>
        <w:t>34</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"_Toc511389254" </w:instrText>
      </w:r>
      <w:r>
        <w:fldChar w:fldCharType="separate"/>
      </w:r>
      <w:r>
        <w:rPr>
          <w:rStyle w:val="33"/>
        </w:rPr>
        <w:t>8.3</w:t>
      </w:r>
      <w:r>
        <w:rPr>
          <w:rStyle w:val="33"/>
          <w:rFonts w:hint="eastAsia"/>
        </w:rPr>
        <w:t xml:space="preserve"> 主机安全</w:t>
      </w:r>
      <w:r>
        <w:tab/>
      </w:r>
      <w:r>
        <w:fldChar w:fldCharType="begin"/>
      </w:r>
      <w:r>
        <w:instrText xml:space="preserve"> PAGEREF _Toc511389254 \h </w:instrText>
      </w:r>
      <w:r>
        <w:fldChar w:fldCharType="separate"/>
      </w:r>
      <w:r>
        <w:t>35</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"_Toc511389255" </w:instrText>
      </w:r>
      <w:r>
        <w:fldChar w:fldCharType="separate"/>
      </w:r>
      <w:r>
        <w:rPr>
          <w:rStyle w:val="33"/>
        </w:rPr>
        <w:t>8.4</w:t>
      </w:r>
      <w:r>
        <w:rPr>
          <w:rStyle w:val="33"/>
          <w:rFonts w:hint="eastAsia"/>
        </w:rPr>
        <w:t xml:space="preserve"> 应用安全</w:t>
      </w:r>
      <w:r>
        <w:tab/>
      </w:r>
      <w:r>
        <w:fldChar w:fldCharType="begin"/>
      </w:r>
      <w:r>
        <w:instrText xml:space="preserve"> PAGEREF _Toc511389255 \h </w:instrText>
      </w:r>
      <w:r>
        <w:fldChar w:fldCharType="separate"/>
      </w:r>
      <w:r>
        <w:t>35</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"_Toc511389256" </w:instrText>
      </w:r>
      <w:r>
        <w:fldChar w:fldCharType="separate"/>
      </w:r>
      <w:r>
        <w:rPr>
          <w:rStyle w:val="33"/>
        </w:rPr>
        <w:t>8.5</w:t>
      </w:r>
      <w:r>
        <w:rPr>
          <w:rStyle w:val="33"/>
          <w:rFonts w:hint="eastAsia"/>
        </w:rPr>
        <w:t xml:space="preserve"> 数据安全</w:t>
      </w:r>
      <w:r>
        <w:tab/>
      </w:r>
      <w:r>
        <w:fldChar w:fldCharType="begin"/>
      </w:r>
      <w:r>
        <w:instrText xml:space="preserve"> PAGEREF _Toc511389256 \h </w:instrText>
      </w:r>
      <w:r>
        <w:fldChar w:fldCharType="separate"/>
      </w:r>
      <w:r>
        <w:t>35</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"_Toc511389257" </w:instrText>
      </w:r>
      <w:r>
        <w:fldChar w:fldCharType="separate"/>
      </w:r>
      <w:r>
        <w:rPr>
          <w:rStyle w:val="33"/>
        </w:rPr>
        <w:t>8.6</w:t>
      </w:r>
      <w:r>
        <w:rPr>
          <w:rStyle w:val="33"/>
          <w:rFonts w:hint="eastAsia"/>
        </w:rPr>
        <w:t xml:space="preserve"> 终端安全</w:t>
      </w:r>
      <w:r>
        <w:tab/>
      </w:r>
      <w:r>
        <w:fldChar w:fldCharType="begin"/>
      </w:r>
      <w:r>
        <w:instrText xml:space="preserve"> PAGEREF _Toc511389257 \h </w:instrText>
      </w:r>
      <w:r>
        <w:fldChar w:fldCharType="separate"/>
      </w:r>
      <w:r>
        <w:t>35</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"_Toc511389258" </w:instrText>
      </w:r>
      <w:r>
        <w:fldChar w:fldCharType="separate"/>
      </w:r>
      <w:r>
        <w:rPr>
          <w:rStyle w:val="33"/>
        </w:rPr>
        <w:t>8.7</w:t>
      </w:r>
      <w:r>
        <w:rPr>
          <w:rStyle w:val="33"/>
          <w:rFonts w:hint="eastAsia"/>
        </w:rPr>
        <w:t xml:space="preserve"> 监测预警</w:t>
      </w:r>
      <w:r>
        <w:tab/>
      </w:r>
      <w:r>
        <w:fldChar w:fldCharType="begin"/>
      </w:r>
      <w:r>
        <w:instrText xml:space="preserve"> PAGEREF _Toc511389258 \h </w:instrText>
      </w:r>
      <w:r>
        <w:fldChar w:fldCharType="separate"/>
      </w:r>
      <w:r>
        <w:t>35</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"_Toc511389259" </w:instrText>
      </w:r>
      <w:r>
        <w:fldChar w:fldCharType="separate"/>
      </w:r>
      <w:r>
        <w:rPr>
          <w:rStyle w:val="33"/>
        </w:rPr>
        <w:t>8.8</w:t>
      </w:r>
      <w:r>
        <w:rPr>
          <w:rStyle w:val="33"/>
          <w:rFonts w:hint="eastAsia"/>
        </w:rPr>
        <w:t xml:space="preserve"> 系统灾备</w:t>
      </w:r>
      <w:r>
        <w:tab/>
      </w:r>
      <w:r>
        <w:fldChar w:fldCharType="begin"/>
      </w:r>
      <w:r>
        <w:instrText xml:space="preserve"> PAGEREF _Toc511389259 \h </w:instrText>
      </w:r>
      <w:r>
        <w:fldChar w:fldCharType="separate"/>
      </w:r>
      <w:r>
        <w:t>35</w:t>
      </w:r>
      <w:r>
        <w:fldChar w:fldCharType="end"/>
      </w:r>
      <w:r>
        <w:fldChar w:fldCharType="end"/>
      </w:r>
    </w:p>
    <w:p>
      <w:pPr>
        <w:spacing w:line="300" w:lineRule="auto"/>
        <w:rPr>
          <w:bCs/>
        </w:rPr>
        <w:sectPr>
          <w:headerReference r:id="rId5" w:type="default"/>
          <w:footerReference r:id="rId7" w:type="default"/>
          <w:headerReference r:id="rId6" w:type="even"/>
          <w:pgSz w:w="11906" w:h="16838"/>
          <w:pgMar w:top="1440" w:right="1797" w:bottom="1440" w:left="1797" w:header="851" w:footer="992" w:gutter="0"/>
          <w:pgNumType w:fmt="upperRoman" w:start="1"/>
          <w:cols w:space="425" w:num="1"/>
          <w:docGrid w:type="lines" w:linePitch="312" w:charSpace="0"/>
        </w:sectPr>
      </w:pPr>
      <w:r>
        <w:rPr>
          <w:bCs/>
        </w:rPr>
        <w:fldChar w:fldCharType="end"/>
      </w:r>
    </w:p>
    <w:p>
      <w:pPr>
        <w:spacing w:before="640" w:after="560" w:line="300" w:lineRule="auto"/>
        <w:jc w:val="center"/>
        <w:rPr>
          <w:rFonts w:eastAsia="黑体"/>
          <w:b/>
          <w:sz w:val="32"/>
          <w:szCs w:val="32"/>
        </w:rPr>
      </w:pPr>
      <w:bookmarkStart w:id="6" w:name="_Toc291776572"/>
      <w:bookmarkStart w:id="7" w:name="_Toc243797232"/>
      <w:bookmarkStart w:id="8" w:name="_Toc291776493"/>
      <w:r>
        <w:rPr>
          <w:rFonts w:eastAsia="黑体"/>
          <w:b/>
          <w:sz w:val="32"/>
          <w:szCs w:val="32"/>
        </w:rPr>
        <w:t>分散式电力现货市场运营系统功能规范</w:t>
      </w:r>
    </w:p>
    <w:p>
      <w:pPr>
        <w:pStyle w:val="2"/>
      </w:pPr>
      <w:bookmarkStart w:id="9" w:name="_Toc511389178"/>
      <w:bookmarkStart w:id="10" w:name="_Toc500491661"/>
      <w:bookmarkStart w:id="11" w:name="_Toc500597428"/>
      <w:bookmarkStart w:id="12" w:name="_Toc498889592"/>
      <w:r>
        <w:t>适用范围</w:t>
      </w:r>
      <w:bookmarkEnd w:id="9"/>
    </w:p>
    <w:p>
      <w:pPr>
        <w:spacing w:line="30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本规范规定了分散式电力现货市场运营系统的基本功能，主要内容包括市场成员管理、数据管理、市场申报、信息发布、中长期合同管理、日前市场、日内市场、平衡机制、辅助服务市场、安全校核、市场评估分析、市场风险管控、市场监管、市场成员服务</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系统管理等功能。</w:t>
      </w:r>
    </w:p>
    <w:p>
      <w:pPr>
        <w:spacing w:line="300" w:lineRule="auto"/>
        <w:ind w:firstLine="480" w:firstLineChars="200"/>
        <w:rPr>
          <w:color w:val="FF0000"/>
        </w:rPr>
      </w:pPr>
      <w:r>
        <w:rPr>
          <w:color w:val="000000" w:themeColor="text1"/>
          <w14:textFill>
            <w14:solidFill>
              <w14:schemeClr w14:val="tx1"/>
            </w14:solidFill>
          </w14:textFill>
        </w:rPr>
        <w:t>本规范适用于以中长期实物合同为基础，发用双方在日前阶段自行确定日发用电曲线，</w:t>
      </w:r>
      <w:r>
        <w:rPr>
          <w:rFonts w:hint="eastAsia"/>
          <w:color w:val="000000" w:themeColor="text1"/>
          <w14:textFill>
            <w14:solidFill>
              <w14:schemeClr w14:val="tx1"/>
            </w14:solidFill>
          </w14:textFill>
        </w:rPr>
        <w:t>偏差</w:t>
      </w:r>
      <w:r>
        <w:rPr>
          <w:color w:val="000000" w:themeColor="text1"/>
          <w14:textFill>
            <w14:solidFill>
              <w14:schemeClr w14:val="tx1"/>
            </w14:solidFill>
          </w14:textFill>
        </w:rPr>
        <w:t>电量通过日前、</w:t>
      </w:r>
      <w:r>
        <w:rPr>
          <w:rFonts w:hint="eastAsia"/>
          <w:color w:val="000000" w:themeColor="text1"/>
          <w14:textFill>
            <w14:solidFill>
              <w14:schemeClr w14:val="tx1"/>
            </w14:solidFill>
          </w14:textFill>
        </w:rPr>
        <w:t>实时平衡交易</w:t>
      </w:r>
      <w:r>
        <w:rPr>
          <w:color w:val="000000" w:themeColor="text1"/>
          <w14:textFill>
            <w14:solidFill>
              <w14:schemeClr w14:val="tx1"/>
            </w14:solidFill>
          </w14:textFill>
        </w:rPr>
        <w:t>进行</w:t>
      </w:r>
      <w:r>
        <w:rPr>
          <w:rFonts w:hint="eastAsia"/>
          <w:color w:val="000000" w:themeColor="text1"/>
          <w14:textFill>
            <w14:solidFill>
              <w14:schemeClr w14:val="tx1"/>
            </w14:solidFill>
          </w14:textFill>
        </w:rPr>
        <w:t>调节</w:t>
      </w:r>
      <w:r>
        <w:rPr>
          <w:color w:val="000000" w:themeColor="text1"/>
          <w14:textFill>
            <w14:solidFill>
              <w14:schemeClr w14:val="tx1"/>
            </w14:solidFill>
          </w14:textFill>
        </w:rPr>
        <w:t>的分散式电力现货市场运营系统的建设，过渡期优先发电量采用物理合约参与市场，保证收益。集中式电力现货市场运营系统技术规范另行规定。</w:t>
      </w:r>
    </w:p>
    <w:p>
      <w:pPr>
        <w:pStyle w:val="2"/>
      </w:pPr>
      <w:bookmarkStart w:id="13" w:name="_Toc291776573"/>
      <w:bookmarkStart w:id="14" w:name="_Toc291776494"/>
      <w:bookmarkStart w:id="15" w:name="_Toc243797233"/>
      <w:bookmarkStart w:id="16" w:name="_Toc511389179"/>
      <w:r>
        <w:t>规范性引用文件</w:t>
      </w:r>
      <w:bookmarkEnd w:id="13"/>
      <w:bookmarkEnd w:id="14"/>
      <w:bookmarkEnd w:id="15"/>
      <w:bookmarkEnd w:id="16"/>
    </w:p>
    <w:p>
      <w:pPr>
        <w:spacing w:line="300" w:lineRule="auto"/>
        <w:ind w:firstLine="480" w:firstLineChars="200"/>
      </w:pPr>
      <w:r>
        <w:t>下列文件中的条款通过本规范的引用而构成本规范的条款。凡是注明日期的引用文件，其随后所有的修改单（不包括勘误内容）或修订版均不适用于本规范，然而，鼓励根据本规范达成协议的各方研究是否可使用这些文件的最新版本。凡是不注明日期的引用文件，其最新版本适用于本规范。</w:t>
      </w:r>
    </w:p>
    <w:p>
      <w:pPr>
        <w:spacing w:line="300" w:lineRule="auto"/>
        <w:ind w:firstLine="480" w:firstLineChars="200"/>
      </w:pPr>
      <w:r>
        <w:t>《中共中央 国务院关于进一步深化电力体制改革的若干意见》（中发〔2015〕9号）</w:t>
      </w:r>
    </w:p>
    <w:p>
      <w:pPr>
        <w:spacing w:line="300" w:lineRule="auto"/>
        <w:ind w:firstLine="480" w:firstLineChars="200"/>
      </w:pPr>
      <w:r>
        <w:t>《国家发展改革委 国家能源局关于印发电力体制改革配套文件的通知》（发改经体〔2015〕2752号）</w:t>
      </w:r>
    </w:p>
    <w:p>
      <w:pPr>
        <w:spacing w:line="300" w:lineRule="auto"/>
        <w:ind w:firstLine="480" w:firstLineChars="200"/>
      </w:pPr>
      <w:r>
        <w:t>《国家发展改革委办公厅 国家能源局综合司关于开展电力现货市场建设试点工作的通知》（发改办能源〔2017〕1453号）</w:t>
      </w:r>
    </w:p>
    <w:p>
      <w:pPr>
        <w:spacing w:line="300" w:lineRule="auto"/>
        <w:ind w:firstLine="480" w:firstLineChars="200"/>
      </w:pPr>
      <w:r>
        <w:t>《电力中长期交易基本规则（暂行）》（发改能源〔2016〕2784号）</w:t>
      </w:r>
    </w:p>
    <w:p>
      <w:pPr>
        <w:spacing w:line="300" w:lineRule="auto"/>
        <w:ind w:firstLine="480" w:firstLineChars="200"/>
      </w:pPr>
      <w:r>
        <w:t>《中华人民共和国网络安全法》</w:t>
      </w:r>
    </w:p>
    <w:p>
      <w:pPr>
        <w:spacing w:line="300" w:lineRule="auto"/>
        <w:ind w:firstLine="480" w:firstLineChars="200"/>
      </w:pPr>
      <w:r>
        <w:t>《电力监控系统安全防护规定》（中华人民共和国国家发展和改革委员会令第14号）</w:t>
      </w:r>
    </w:p>
    <w:p>
      <w:pPr>
        <w:spacing w:line="300" w:lineRule="auto"/>
        <w:ind w:firstLine="480" w:firstLineChars="200"/>
      </w:pPr>
      <w:r>
        <w:t>《电力行业网络与信息安全管理办法》（国能安全〔2014〕317号）</w:t>
      </w:r>
    </w:p>
    <w:p>
      <w:pPr>
        <w:spacing w:line="300" w:lineRule="auto"/>
        <w:ind w:firstLine="480" w:firstLineChars="200"/>
      </w:pPr>
      <w:r>
        <w:t>《电力行业信息安全等级保护管理办法》（国能安全〔2014〕318号）</w:t>
      </w:r>
    </w:p>
    <w:p>
      <w:pPr>
        <w:spacing w:line="300" w:lineRule="auto"/>
        <w:ind w:firstLine="480" w:firstLineChars="200"/>
      </w:pPr>
      <w:r>
        <w:t>《国家能源局关于印发电力监控系统安全防护总体方案等安全防护方案和评估规范的通知》（国能安全〔2015〕36号）</w:t>
      </w:r>
    </w:p>
    <w:p>
      <w:pPr>
        <w:pStyle w:val="2"/>
      </w:pPr>
      <w:bookmarkStart w:id="17" w:name="_Toc498003831"/>
      <w:bookmarkStart w:id="18" w:name="_Toc511389180"/>
      <w:r>
        <w:t>术语和定义</w:t>
      </w:r>
      <w:bookmarkEnd w:id="17"/>
      <w:bookmarkEnd w:id="18"/>
    </w:p>
    <w:p>
      <w:pPr>
        <w:spacing w:line="300" w:lineRule="auto"/>
        <w:rPr>
          <w:szCs w:val="21"/>
          <w:lang w:val="sv-SE"/>
        </w:rPr>
      </w:pPr>
      <w:r>
        <w:rPr>
          <w:szCs w:val="21"/>
          <w:lang w:val="sv-SE"/>
        </w:rPr>
        <w:t>3.1 电力批发市场Wholesale Electricity Market</w:t>
      </w:r>
    </w:p>
    <w:p>
      <w:pPr>
        <w:spacing w:line="300" w:lineRule="auto"/>
        <w:ind w:firstLine="480" w:firstLineChars="200"/>
        <w:rPr>
          <w:szCs w:val="21"/>
          <w:lang w:val="sv-SE"/>
        </w:rPr>
      </w:pPr>
      <w:r>
        <w:rPr>
          <w:szCs w:val="21"/>
          <w:lang w:val="sv-SE"/>
        </w:rPr>
        <w:t>发电商和大用户/</w:t>
      </w:r>
      <w:r>
        <w:rPr>
          <w:rFonts w:hint="eastAsia"/>
          <w:szCs w:val="21"/>
          <w:lang w:val="sv-SE"/>
        </w:rPr>
        <w:t>电力</w:t>
      </w:r>
      <w:r>
        <w:rPr>
          <w:szCs w:val="21"/>
          <w:lang w:val="sv-SE"/>
        </w:rPr>
        <w:t>零售商之间进行大宗电力交易的市场。</w:t>
      </w:r>
    </w:p>
    <w:p>
      <w:pPr>
        <w:spacing w:line="300" w:lineRule="auto"/>
        <w:rPr>
          <w:szCs w:val="21"/>
          <w:lang w:val="sv-SE"/>
        </w:rPr>
      </w:pPr>
      <w:r>
        <w:rPr>
          <w:szCs w:val="21"/>
          <w:lang w:val="sv-SE"/>
        </w:rPr>
        <w:t>3.2 电力零售市场Retail Electricity Market</w:t>
      </w:r>
    </w:p>
    <w:p>
      <w:pPr>
        <w:spacing w:line="300" w:lineRule="auto"/>
        <w:ind w:firstLine="480" w:firstLineChars="200"/>
        <w:rPr>
          <w:szCs w:val="21"/>
          <w:lang w:val="sv-SE"/>
        </w:rPr>
      </w:pPr>
      <w:r>
        <w:rPr>
          <w:szCs w:val="21"/>
          <w:lang w:val="sv-SE"/>
        </w:rPr>
        <w:t>指在批发市场的基础上，进一步放开配电服务，允许电力零售商进入市场，中小电力用户有权自主选择供电商的售电侧市场形态。</w:t>
      </w:r>
    </w:p>
    <w:p>
      <w:pPr>
        <w:spacing w:line="300" w:lineRule="auto"/>
        <w:rPr>
          <w:szCs w:val="21"/>
          <w:lang w:val="sv-SE"/>
        </w:rPr>
      </w:pPr>
      <w:r>
        <w:rPr>
          <w:szCs w:val="21"/>
          <w:lang w:val="sv-SE"/>
        </w:rPr>
        <w:t>3.3 电能量市场Electric Energy Market</w:t>
      </w:r>
    </w:p>
    <w:p>
      <w:pPr>
        <w:spacing w:line="300" w:lineRule="auto"/>
        <w:ind w:firstLine="480" w:firstLineChars="200"/>
        <w:rPr>
          <w:szCs w:val="21"/>
          <w:lang w:val="sv-SE"/>
        </w:rPr>
      </w:pPr>
      <w:r>
        <w:rPr>
          <w:szCs w:val="21"/>
          <w:lang w:val="sv-SE"/>
        </w:rPr>
        <w:t>以</w:t>
      </w:r>
      <w:r>
        <w:t>电能量</w:t>
      </w:r>
      <w:r>
        <w:rPr>
          <w:szCs w:val="21"/>
          <w:lang w:val="sv-SE"/>
        </w:rPr>
        <w:t>为交易标的物的市场。</w:t>
      </w:r>
    </w:p>
    <w:p>
      <w:pPr>
        <w:spacing w:line="300" w:lineRule="auto"/>
        <w:rPr>
          <w:szCs w:val="21"/>
          <w:lang w:val="sv-SE"/>
        </w:rPr>
      </w:pPr>
      <w:r>
        <w:rPr>
          <w:szCs w:val="21"/>
          <w:lang w:val="sv-SE"/>
        </w:rPr>
        <w:t>3.4 实物合同Physical Contract</w:t>
      </w:r>
    </w:p>
    <w:p>
      <w:pPr>
        <w:spacing w:line="300" w:lineRule="auto"/>
        <w:ind w:firstLine="480" w:firstLineChars="200"/>
        <w:rPr>
          <w:szCs w:val="21"/>
          <w:lang w:val="sv-SE"/>
        </w:rPr>
      </w:pPr>
      <w:r>
        <w:rPr>
          <w:szCs w:val="21"/>
          <w:lang w:val="sv-SE"/>
        </w:rPr>
        <w:t>合同双方根据实际供需情况自行签订，并要求按照合同条款以实物而非现金交割执行的合同。</w:t>
      </w:r>
    </w:p>
    <w:p>
      <w:pPr>
        <w:spacing w:line="300" w:lineRule="auto"/>
        <w:rPr>
          <w:szCs w:val="21"/>
          <w:lang w:val="sv-SE"/>
        </w:rPr>
      </w:pPr>
      <w:r>
        <w:rPr>
          <w:szCs w:val="21"/>
          <w:lang w:val="sv-SE"/>
        </w:rPr>
        <w:t xml:space="preserve">3.5 </w:t>
      </w:r>
      <w:r>
        <w:rPr>
          <w:rFonts w:hint="eastAsia"/>
          <w:szCs w:val="21"/>
          <w:lang w:val="sv-SE"/>
        </w:rPr>
        <w:t>财务</w:t>
      </w:r>
      <w:r>
        <w:rPr>
          <w:szCs w:val="21"/>
          <w:lang w:val="sv-SE"/>
        </w:rPr>
        <w:t>合同Financial Contract</w:t>
      </w:r>
    </w:p>
    <w:p>
      <w:pPr>
        <w:spacing w:line="300" w:lineRule="auto"/>
        <w:ind w:firstLine="480" w:firstLineChars="200"/>
        <w:rPr>
          <w:szCs w:val="21"/>
          <w:lang w:val="sv-SE"/>
        </w:rPr>
      </w:pPr>
      <w:r>
        <w:rPr>
          <w:szCs w:val="21"/>
          <w:lang w:val="sv-SE"/>
        </w:rPr>
        <w:t>市场参与者以电力及其衍生品为标的，进行购买、出售、出借、互换或回购等交易的协议，交易形式包括差价、远期和互换等。电力</w:t>
      </w:r>
      <w:r>
        <w:rPr>
          <w:rFonts w:hint="eastAsia"/>
          <w:szCs w:val="21"/>
          <w:lang w:val="sv-SE"/>
        </w:rPr>
        <w:t>财务</w:t>
      </w:r>
      <w:r>
        <w:rPr>
          <w:szCs w:val="21"/>
          <w:lang w:val="sv-SE"/>
        </w:rPr>
        <w:t>合同仅约定财务交割责任，不作为市场主体发用电计划制定依据。</w:t>
      </w:r>
    </w:p>
    <w:p>
      <w:pPr>
        <w:spacing w:line="300" w:lineRule="auto"/>
        <w:rPr>
          <w:szCs w:val="21"/>
          <w:lang w:val="sv-SE"/>
        </w:rPr>
      </w:pPr>
      <w:r>
        <w:rPr>
          <w:szCs w:val="21"/>
          <w:lang w:val="sv-SE"/>
        </w:rPr>
        <w:t>3.6 差价合同Contract for Difference（CfD）</w:t>
      </w:r>
    </w:p>
    <w:p>
      <w:pPr>
        <w:spacing w:line="300" w:lineRule="auto"/>
        <w:ind w:firstLine="480" w:firstLineChars="200"/>
        <w:rPr>
          <w:szCs w:val="21"/>
          <w:lang w:val="sv-SE"/>
        </w:rPr>
      </w:pPr>
      <w:r>
        <w:rPr>
          <w:szCs w:val="21"/>
          <w:lang w:val="sv-SE"/>
        </w:rPr>
        <w:t>根据事先约定的合同价格以及合同交割对应的市场价格（如现货价格）之差进行结算的一种金融合同。</w:t>
      </w:r>
    </w:p>
    <w:p>
      <w:pPr>
        <w:spacing w:line="300" w:lineRule="auto"/>
        <w:rPr>
          <w:szCs w:val="21"/>
          <w:lang w:val="sv-SE"/>
        </w:rPr>
      </w:pPr>
      <w:r>
        <w:rPr>
          <w:szCs w:val="21"/>
          <w:lang w:val="sv-SE"/>
        </w:rPr>
        <w:t xml:space="preserve">3.7 </w:t>
      </w:r>
      <w:r>
        <w:rPr>
          <w:rFonts w:hint="eastAsia"/>
          <w:szCs w:val="21"/>
          <w:lang w:val="sv-SE"/>
        </w:rPr>
        <w:t>市场成员</w:t>
      </w:r>
      <w:r>
        <w:rPr>
          <w:szCs w:val="21"/>
          <w:lang w:val="sv-SE"/>
        </w:rPr>
        <w:t>Market Member</w:t>
      </w:r>
    </w:p>
    <w:p>
      <w:pPr>
        <w:spacing w:line="300" w:lineRule="auto"/>
        <w:ind w:firstLine="480" w:firstLineChars="200"/>
        <w:rPr>
          <w:szCs w:val="21"/>
          <w:lang w:val="sv-SE"/>
        </w:rPr>
      </w:pPr>
      <w:r>
        <w:rPr>
          <w:rFonts w:hint="eastAsia"/>
          <w:szCs w:val="21"/>
          <w:lang w:val="sv-SE"/>
        </w:rPr>
        <w:t>电力批发市场的参与者和利益攸关方。市场成员包括市场主体、电网运营企业和市场运营机构三类。其中，市场主体包括各类发电企业、售电企业、电力用户和独立的辅助服务提供商等。</w:t>
      </w:r>
    </w:p>
    <w:p>
      <w:pPr>
        <w:spacing w:line="300" w:lineRule="auto"/>
        <w:rPr>
          <w:szCs w:val="21"/>
          <w:lang w:val="sv-SE"/>
        </w:rPr>
      </w:pPr>
      <w:r>
        <w:rPr>
          <w:szCs w:val="21"/>
          <w:lang w:val="sv-SE"/>
        </w:rPr>
        <w:t>3.8 分散式电力市场Decentralized Electric Power Market</w:t>
      </w:r>
    </w:p>
    <w:p>
      <w:pPr>
        <w:spacing w:line="300" w:lineRule="auto"/>
        <w:ind w:firstLine="480" w:firstLineChars="200"/>
        <w:rPr>
          <w:szCs w:val="21"/>
          <w:lang w:val="sv-SE"/>
        </w:rPr>
      </w:pPr>
      <w:r>
        <w:rPr>
          <w:szCs w:val="21"/>
          <w:lang w:val="sv-SE"/>
        </w:rPr>
        <w:t>我国电力市场两种模式之一，主要以中长期实物合同为基础，发用双方在日前阶段自行确定日发用电曲线，</w:t>
      </w:r>
      <w:r>
        <w:rPr>
          <w:rFonts w:hint="eastAsia"/>
          <w:szCs w:val="21"/>
          <w:lang w:val="sv-SE"/>
        </w:rPr>
        <w:t>偏差</w:t>
      </w:r>
      <w:r>
        <w:rPr>
          <w:szCs w:val="21"/>
          <w:lang w:val="sv-SE"/>
        </w:rPr>
        <w:t>电量通过日前</w:t>
      </w:r>
      <w:r>
        <w:rPr>
          <w:rFonts w:hint="eastAsia"/>
          <w:szCs w:val="21"/>
          <w:lang w:val="sv-SE"/>
        </w:rPr>
        <w:t>、实时</w:t>
      </w:r>
      <w:r>
        <w:rPr>
          <w:szCs w:val="21"/>
          <w:lang w:val="sv-SE"/>
        </w:rPr>
        <w:t>平衡交易进行</w:t>
      </w:r>
      <w:r>
        <w:rPr>
          <w:rFonts w:hint="eastAsia"/>
          <w:szCs w:val="21"/>
          <w:lang w:val="sv-SE"/>
        </w:rPr>
        <w:t>调节</w:t>
      </w:r>
      <w:r>
        <w:rPr>
          <w:szCs w:val="21"/>
          <w:lang w:val="sv-SE"/>
        </w:rPr>
        <w:t>的电力市场模式。</w:t>
      </w:r>
    </w:p>
    <w:p>
      <w:pPr>
        <w:spacing w:line="300" w:lineRule="auto"/>
        <w:rPr>
          <w:szCs w:val="21"/>
          <w:lang w:val="sv-SE"/>
        </w:rPr>
      </w:pPr>
      <w:r>
        <w:rPr>
          <w:szCs w:val="21"/>
          <w:lang w:val="sv-SE"/>
        </w:rPr>
        <w:t>3.9 集中式电力市场Centralized Electric</w:t>
      </w:r>
      <w:r>
        <w:rPr>
          <w:lang w:val="sv-SE"/>
        </w:rPr>
        <w:t xml:space="preserve"> </w:t>
      </w:r>
      <w:r>
        <w:rPr>
          <w:szCs w:val="21"/>
          <w:lang w:val="sv-SE"/>
        </w:rPr>
        <w:t>Power Market</w:t>
      </w:r>
    </w:p>
    <w:p>
      <w:pPr>
        <w:spacing w:line="300" w:lineRule="auto"/>
        <w:ind w:firstLine="480" w:firstLineChars="200"/>
        <w:rPr>
          <w:szCs w:val="21"/>
          <w:lang w:val="sv-SE"/>
        </w:rPr>
      </w:pPr>
      <w:r>
        <w:rPr>
          <w:szCs w:val="21"/>
          <w:lang w:val="sv-SE"/>
        </w:rPr>
        <w:t>我国电力市场两种模式之一，现货交易采用全电量集中竞价，主要以中长期差价合同等对冲现货市场风险的电力市场模式。</w:t>
      </w:r>
    </w:p>
    <w:p>
      <w:pPr>
        <w:spacing w:line="300" w:lineRule="auto"/>
        <w:rPr>
          <w:szCs w:val="21"/>
          <w:lang w:val="sv-SE"/>
        </w:rPr>
      </w:pPr>
      <w:r>
        <w:rPr>
          <w:szCs w:val="21"/>
          <w:lang w:val="sv-SE"/>
        </w:rPr>
        <w:t>3.10 中长期交易 Medium and Long-term Transaction</w:t>
      </w:r>
    </w:p>
    <w:p>
      <w:pPr>
        <w:spacing w:line="300" w:lineRule="auto"/>
        <w:ind w:firstLine="480" w:firstLineChars="200"/>
        <w:rPr>
          <w:szCs w:val="21"/>
          <w:lang w:val="sv-SE"/>
        </w:rPr>
      </w:pPr>
      <w:r>
        <w:rPr>
          <w:szCs w:val="21"/>
          <w:lang w:val="sv-SE"/>
        </w:rPr>
        <w:t>对未来某一时期内交割的电力产品或服务的交易，包含数年、年、月、周、多日等不同时间尺度。中长期交易合同包括实物合同和</w:t>
      </w:r>
      <w:r>
        <w:rPr>
          <w:rFonts w:hint="eastAsia"/>
          <w:szCs w:val="21"/>
          <w:lang w:val="sv-SE"/>
        </w:rPr>
        <w:t>财务</w:t>
      </w:r>
      <w:r>
        <w:rPr>
          <w:szCs w:val="21"/>
          <w:lang w:val="sv-SE"/>
        </w:rPr>
        <w:t>合同。</w:t>
      </w:r>
    </w:p>
    <w:p>
      <w:pPr>
        <w:spacing w:line="300" w:lineRule="auto"/>
        <w:rPr>
          <w:szCs w:val="21"/>
          <w:lang w:val="sv-SE"/>
        </w:rPr>
      </w:pPr>
      <w:r>
        <w:rPr>
          <w:szCs w:val="21"/>
          <w:lang w:val="sv-SE"/>
        </w:rPr>
        <w:t>3.11 电力现货市场 Electricity Spot Market</w:t>
      </w:r>
    </w:p>
    <w:p>
      <w:pPr>
        <w:spacing w:line="300" w:lineRule="auto"/>
        <w:ind w:firstLine="480" w:firstLineChars="200"/>
        <w:rPr>
          <w:szCs w:val="21"/>
          <w:lang w:val="sv-SE"/>
        </w:rPr>
      </w:pPr>
      <w:r>
        <w:rPr>
          <w:szCs w:val="21"/>
          <w:lang w:val="sv-SE"/>
        </w:rPr>
        <w:t>通过交易平台在日前及更短时间内集中开展的次日、日内至实时调度之前电力交易活动的总称。现货市场交易标的物包括电能量、调频服务、备用服务等。</w:t>
      </w:r>
    </w:p>
    <w:p>
      <w:pPr>
        <w:spacing w:line="300" w:lineRule="auto"/>
        <w:rPr>
          <w:szCs w:val="21"/>
          <w:lang w:val="sv-SE"/>
        </w:rPr>
      </w:pPr>
      <w:r>
        <w:rPr>
          <w:szCs w:val="21"/>
          <w:lang w:val="sv-SE"/>
        </w:rPr>
        <w:t>3.12 安全约束机组组合 Security Constrained Unit Commitment（SCUC）</w:t>
      </w:r>
    </w:p>
    <w:p>
      <w:pPr>
        <w:spacing w:line="300" w:lineRule="auto"/>
        <w:ind w:firstLine="480" w:firstLineChars="200"/>
        <w:rPr>
          <w:szCs w:val="21"/>
          <w:lang w:val="sv-SE"/>
        </w:rPr>
      </w:pPr>
      <w:r>
        <w:rPr>
          <w:szCs w:val="21"/>
          <w:lang w:val="sv-SE"/>
        </w:rPr>
        <w:t>在满足电力系统安全性约束的条件下，以社会福利最大化或系统发电成本最小化等为优化目标，制定多时段的机组开停机计划。</w:t>
      </w:r>
    </w:p>
    <w:p>
      <w:pPr>
        <w:spacing w:line="300" w:lineRule="auto"/>
        <w:rPr>
          <w:szCs w:val="21"/>
          <w:lang w:val="sv-SE"/>
        </w:rPr>
      </w:pPr>
      <w:r>
        <w:rPr>
          <w:szCs w:val="21"/>
          <w:lang w:val="sv-SE"/>
        </w:rPr>
        <w:t>3.13 安全约束经济调度 Security Constrained Economic Dispatch（SCED）</w:t>
      </w:r>
    </w:p>
    <w:p>
      <w:pPr>
        <w:spacing w:line="300" w:lineRule="auto"/>
        <w:ind w:firstLine="480" w:firstLineChars="200"/>
        <w:rPr>
          <w:szCs w:val="21"/>
          <w:lang w:val="sv-SE"/>
        </w:rPr>
      </w:pPr>
      <w:r>
        <w:rPr>
          <w:szCs w:val="21"/>
          <w:lang w:val="sv-SE"/>
        </w:rPr>
        <w:t>在满足电力系统安全性约束的条件下，以社会福利最大化或系统发电成本最小化等为优化目标，制定多时段的机组发电计划。</w:t>
      </w:r>
    </w:p>
    <w:p>
      <w:pPr>
        <w:spacing w:line="300" w:lineRule="auto"/>
        <w:rPr>
          <w:szCs w:val="21"/>
          <w:lang w:val="sv-SE"/>
        </w:rPr>
      </w:pPr>
      <w:r>
        <w:rPr>
          <w:szCs w:val="21"/>
          <w:lang w:val="sv-SE"/>
        </w:rPr>
        <w:t>3.14 安全校核 Power System Security Analysis</w:t>
      </w:r>
    </w:p>
    <w:p>
      <w:pPr>
        <w:spacing w:line="300" w:lineRule="auto"/>
        <w:ind w:firstLine="480" w:firstLineChars="200"/>
        <w:rPr>
          <w:szCs w:val="21"/>
          <w:lang w:val="sv-SE"/>
        </w:rPr>
      </w:pPr>
      <w:r>
        <w:rPr>
          <w:szCs w:val="21"/>
          <w:lang w:val="sv-SE"/>
        </w:rPr>
        <w:t>对检修计划、发电计划、市场出清结果和电网运行操作等内容，从电力系统运行安全角度分析其安全性的过程。分析方法包括静态安全分析、暂态稳定分析、动态稳定分析、电压稳定分析等。</w:t>
      </w:r>
    </w:p>
    <w:p>
      <w:pPr>
        <w:spacing w:line="300" w:lineRule="auto"/>
        <w:rPr>
          <w:szCs w:val="21"/>
          <w:lang w:val="sv-SE"/>
        </w:rPr>
      </w:pPr>
      <w:r>
        <w:rPr>
          <w:szCs w:val="21"/>
          <w:lang w:val="sv-SE"/>
        </w:rPr>
        <w:t>3.15 辅助服务市场 Ancillary Service Market</w:t>
      </w:r>
    </w:p>
    <w:p>
      <w:pPr>
        <w:spacing w:line="300" w:lineRule="auto"/>
        <w:ind w:firstLine="480" w:firstLineChars="200"/>
        <w:rPr>
          <w:szCs w:val="21"/>
          <w:lang w:val="sv-SE"/>
        </w:rPr>
      </w:pPr>
      <w:r>
        <w:rPr>
          <w:szCs w:val="21"/>
          <w:lang w:val="sv-SE"/>
        </w:rPr>
        <w:t>为维</w:t>
      </w:r>
      <w:r>
        <w:rPr>
          <w:rFonts w:hint="eastAsia"/>
          <w:szCs w:val="21"/>
          <w:lang w:val="sv-SE"/>
        </w:rPr>
        <w:t>护</w:t>
      </w:r>
      <w:r>
        <w:rPr>
          <w:szCs w:val="21"/>
          <w:lang w:val="sv-SE"/>
        </w:rPr>
        <w:t>系统的安全稳定运行、保证电能质量，由发电企业、电网经营企业和电力用户等提供除正常电能生产、传输、使用之外的市场化辅助服务的市场，具体包括调频、备用、无功调节、黑启动等市场。</w:t>
      </w:r>
    </w:p>
    <w:p>
      <w:pPr>
        <w:spacing w:line="300" w:lineRule="auto"/>
        <w:rPr>
          <w:szCs w:val="21"/>
          <w:lang w:val="sv-SE"/>
        </w:rPr>
      </w:pPr>
      <w:r>
        <w:rPr>
          <w:szCs w:val="21"/>
          <w:lang w:val="sv-SE"/>
        </w:rPr>
        <w:t>3.16 节点边际电价 Location Marginal Price（LMP）</w:t>
      </w:r>
    </w:p>
    <w:p>
      <w:pPr>
        <w:spacing w:line="300" w:lineRule="auto"/>
        <w:ind w:firstLine="480" w:firstLineChars="200"/>
        <w:rPr>
          <w:szCs w:val="21"/>
          <w:lang w:val="sv-SE"/>
        </w:rPr>
      </w:pPr>
      <w:r>
        <w:rPr>
          <w:szCs w:val="21"/>
          <w:lang w:val="sv-SE"/>
        </w:rPr>
        <w:t>在现货电能交易中，为满足某一电气节点增加单位负荷导致的系统总电能供给成本的增加量。节点边际电价由系统边际电价、阻塞价格和网损价格三部分构成。</w:t>
      </w:r>
    </w:p>
    <w:p>
      <w:pPr>
        <w:spacing w:line="300" w:lineRule="auto"/>
        <w:rPr>
          <w:szCs w:val="21"/>
          <w:lang w:val="sv-SE"/>
        </w:rPr>
      </w:pPr>
      <w:r>
        <w:rPr>
          <w:szCs w:val="21"/>
          <w:lang w:val="sv-SE"/>
        </w:rPr>
        <w:t>3.17 系统边际电价System Marginal Price（SMP）</w:t>
      </w:r>
    </w:p>
    <w:p>
      <w:pPr>
        <w:spacing w:line="300" w:lineRule="auto"/>
        <w:ind w:firstLine="480" w:firstLineChars="200"/>
        <w:rPr>
          <w:szCs w:val="21"/>
          <w:lang w:val="sv-SE"/>
        </w:rPr>
      </w:pPr>
      <w:r>
        <w:rPr>
          <w:szCs w:val="21"/>
          <w:lang w:val="sv-SE"/>
        </w:rPr>
        <w:t>指在电力现货交易中，按照报价从低到高的顺序逐一成交电力，使成交的电力满足系统负荷需求的最后一个电能供应者的报价。</w:t>
      </w:r>
    </w:p>
    <w:p>
      <w:pPr>
        <w:spacing w:line="300" w:lineRule="auto"/>
        <w:rPr>
          <w:szCs w:val="21"/>
          <w:lang w:val="sv-SE"/>
        </w:rPr>
      </w:pPr>
      <w:r>
        <w:rPr>
          <w:szCs w:val="21"/>
          <w:lang w:val="sv-SE"/>
        </w:rPr>
        <w:t>3.18 分区边际电价Zonal Marginal Price</w:t>
      </w:r>
    </w:p>
    <w:p>
      <w:pPr>
        <w:spacing w:line="300" w:lineRule="auto"/>
        <w:ind w:firstLine="480" w:firstLineChars="200"/>
        <w:rPr>
          <w:szCs w:val="21"/>
          <w:lang w:val="sv-SE"/>
        </w:rPr>
      </w:pPr>
      <w:r>
        <w:rPr>
          <w:szCs w:val="21"/>
          <w:lang w:val="sv-SE"/>
        </w:rPr>
        <w:t>当电网存在输电阻塞时，按阻塞断面将市场分成几个不同的</w:t>
      </w:r>
      <w:r>
        <w:rPr>
          <w:rFonts w:hint="eastAsia"/>
          <w:szCs w:val="21"/>
          <w:lang w:val="sv-SE"/>
        </w:rPr>
        <w:t>分区</w:t>
      </w:r>
      <w:r>
        <w:rPr>
          <w:szCs w:val="21"/>
          <w:lang w:val="sv-SE"/>
        </w:rPr>
        <w:t>（即价区），并以</w:t>
      </w:r>
      <w:r>
        <w:rPr>
          <w:rFonts w:hint="eastAsia"/>
          <w:szCs w:val="21"/>
          <w:lang w:val="sv-SE"/>
        </w:rPr>
        <w:t>分区</w:t>
      </w:r>
      <w:r>
        <w:rPr>
          <w:szCs w:val="21"/>
          <w:lang w:val="sv-SE"/>
        </w:rPr>
        <w:t>内边际机组的价格作为该</w:t>
      </w:r>
      <w:r>
        <w:rPr>
          <w:rFonts w:hint="eastAsia"/>
          <w:szCs w:val="21"/>
          <w:lang w:val="sv-SE"/>
        </w:rPr>
        <w:t>分区</w:t>
      </w:r>
      <w:r>
        <w:rPr>
          <w:szCs w:val="21"/>
          <w:lang w:val="sv-SE"/>
        </w:rPr>
        <w:t>市场出清价格，即分区边际电价。</w:t>
      </w:r>
    </w:p>
    <w:p>
      <w:pPr>
        <w:spacing w:line="300" w:lineRule="auto"/>
        <w:rPr>
          <w:szCs w:val="21"/>
          <w:lang w:val="sv-SE"/>
        </w:rPr>
      </w:pPr>
      <w:r>
        <w:rPr>
          <w:szCs w:val="21"/>
          <w:lang w:val="sv-SE"/>
        </w:rPr>
        <w:t>3.19 日前市场 Day-ahead Market</w:t>
      </w:r>
    </w:p>
    <w:p>
      <w:pPr>
        <w:spacing w:line="300" w:lineRule="auto"/>
        <w:ind w:firstLine="480" w:firstLineChars="200"/>
        <w:rPr>
          <w:szCs w:val="21"/>
          <w:lang w:val="sv-SE"/>
        </w:rPr>
      </w:pPr>
      <w:r>
        <w:rPr>
          <w:szCs w:val="21"/>
          <w:lang w:val="sv-SE"/>
        </w:rPr>
        <w:t>运行日提前一天（D-1日）进行的决定运行日（D日）机组组合状态和发电计划的电能交易市场。</w:t>
      </w:r>
    </w:p>
    <w:p>
      <w:pPr>
        <w:spacing w:line="300" w:lineRule="auto"/>
        <w:rPr>
          <w:szCs w:val="21"/>
          <w:lang w:val="sv-SE"/>
        </w:rPr>
      </w:pPr>
      <w:r>
        <w:rPr>
          <w:szCs w:val="21"/>
          <w:lang w:val="sv-SE"/>
        </w:rPr>
        <w:t>3.20 日内市场 Intra-day Market</w:t>
      </w:r>
    </w:p>
    <w:p>
      <w:pPr>
        <w:spacing w:line="300" w:lineRule="auto"/>
        <w:ind w:firstLine="480" w:firstLineChars="200"/>
        <w:rPr>
          <w:szCs w:val="21"/>
          <w:lang w:val="sv-SE"/>
        </w:rPr>
      </w:pPr>
      <w:r>
        <w:rPr>
          <w:szCs w:val="21"/>
          <w:lang w:val="sv-SE"/>
        </w:rPr>
        <w:t>运行日（D日）滚动进行的决定运行日（D日）未来数小时调度机组组合状态和发电计划的电能交易市场。</w:t>
      </w:r>
    </w:p>
    <w:p>
      <w:pPr>
        <w:spacing w:line="300" w:lineRule="auto"/>
        <w:rPr>
          <w:szCs w:val="21"/>
          <w:lang w:val="sv-SE"/>
        </w:rPr>
      </w:pPr>
      <w:r>
        <w:rPr>
          <w:szCs w:val="21"/>
          <w:lang w:val="sv-SE"/>
        </w:rPr>
        <w:t>3.21 实时市场 Real Time Market</w:t>
      </w:r>
    </w:p>
    <w:p>
      <w:pPr>
        <w:spacing w:line="300" w:lineRule="auto"/>
        <w:ind w:firstLine="480" w:firstLineChars="200"/>
        <w:rPr>
          <w:szCs w:val="21"/>
          <w:lang w:val="sv-SE"/>
        </w:rPr>
      </w:pPr>
      <w:r>
        <w:rPr>
          <w:szCs w:val="21"/>
          <w:lang w:val="sv-SE"/>
        </w:rPr>
        <w:t>运行日（D日）进行的决定运行日（D日）未来5-15分钟最终调度资源分配状态和计划的电能交易市场。</w:t>
      </w:r>
    </w:p>
    <w:p>
      <w:pPr>
        <w:spacing w:line="300" w:lineRule="auto"/>
        <w:rPr>
          <w:szCs w:val="21"/>
          <w:lang w:val="sv-SE"/>
        </w:rPr>
      </w:pPr>
      <w:r>
        <w:rPr>
          <w:szCs w:val="21"/>
          <w:lang w:val="sv-SE"/>
        </w:rPr>
        <w:t>3.22 市场数据申报 Market Information Declaration</w:t>
      </w:r>
    </w:p>
    <w:p>
      <w:pPr>
        <w:spacing w:line="300" w:lineRule="auto"/>
        <w:ind w:firstLine="480" w:firstLineChars="200"/>
        <w:rPr>
          <w:szCs w:val="21"/>
          <w:lang w:val="sv-SE"/>
        </w:rPr>
      </w:pPr>
      <w:r>
        <w:rPr>
          <w:szCs w:val="21"/>
          <w:lang w:val="sv-SE"/>
        </w:rPr>
        <w:t>市场主体按照现货市场的要求，在指定的时间范围内申报各类数据信息，包括静态属性注册数据、运行技术参数和经济性参数等。</w:t>
      </w:r>
    </w:p>
    <w:p>
      <w:pPr>
        <w:spacing w:line="300" w:lineRule="auto"/>
        <w:rPr>
          <w:szCs w:val="21"/>
          <w:lang w:val="sv-SE"/>
        </w:rPr>
      </w:pPr>
      <w:r>
        <w:rPr>
          <w:szCs w:val="21"/>
          <w:lang w:val="sv-SE"/>
        </w:rPr>
        <w:t>3.23 市场注册 Market Registration</w:t>
      </w:r>
    </w:p>
    <w:p>
      <w:pPr>
        <w:spacing w:line="300" w:lineRule="auto"/>
        <w:ind w:firstLine="480" w:firstLineChars="200"/>
        <w:rPr>
          <w:szCs w:val="21"/>
          <w:lang w:val="sv-SE"/>
        </w:rPr>
      </w:pPr>
      <w:r>
        <w:rPr>
          <w:szCs w:val="21"/>
          <w:lang w:val="sv-SE"/>
        </w:rPr>
        <w:t>指市场交易成员将用于取得市场主体资格相关的信息和资料提交给市场运营机构并获得市场主体资格的过程。</w:t>
      </w:r>
    </w:p>
    <w:p>
      <w:pPr>
        <w:spacing w:line="300" w:lineRule="auto"/>
        <w:rPr>
          <w:szCs w:val="21"/>
          <w:lang w:val="sv-SE"/>
        </w:rPr>
      </w:pPr>
      <w:r>
        <w:rPr>
          <w:szCs w:val="21"/>
          <w:lang w:val="sv-SE"/>
        </w:rPr>
        <w:t>3.24 市场力 Market Power</w:t>
      </w:r>
    </w:p>
    <w:p>
      <w:pPr>
        <w:spacing w:line="300" w:lineRule="auto"/>
        <w:ind w:firstLine="480" w:firstLineChars="200"/>
        <w:rPr>
          <w:szCs w:val="21"/>
          <w:lang w:val="sv-SE"/>
        </w:rPr>
      </w:pPr>
      <w:r>
        <w:rPr>
          <w:szCs w:val="21"/>
          <w:lang w:val="sv-SE"/>
        </w:rPr>
        <w:t>市场成员操纵市场价格、使之偏离市场充分竞争情况下所具有的价格水平的能力。</w:t>
      </w:r>
    </w:p>
    <w:p>
      <w:pPr>
        <w:spacing w:line="300" w:lineRule="auto"/>
        <w:rPr>
          <w:szCs w:val="21"/>
          <w:lang w:val="sv-SE"/>
        </w:rPr>
      </w:pPr>
      <w:r>
        <w:rPr>
          <w:szCs w:val="21"/>
          <w:lang w:val="sv-SE"/>
        </w:rPr>
        <w:t>3.25 市场出清 Market Clearing</w:t>
      </w:r>
    </w:p>
    <w:p>
      <w:pPr>
        <w:spacing w:line="300" w:lineRule="auto"/>
        <w:ind w:firstLine="480" w:firstLineChars="200"/>
        <w:rPr>
          <w:szCs w:val="21"/>
          <w:lang w:val="sv-SE"/>
        </w:rPr>
      </w:pPr>
      <w:r>
        <w:rPr>
          <w:szCs w:val="21"/>
          <w:lang w:val="sv-SE"/>
        </w:rPr>
        <w:t>电力市场根据市场规则通过竞争定价确定交易量、价。</w:t>
      </w:r>
    </w:p>
    <w:p>
      <w:pPr>
        <w:spacing w:line="300" w:lineRule="auto"/>
        <w:rPr>
          <w:szCs w:val="21"/>
          <w:lang w:val="sv-SE"/>
        </w:rPr>
      </w:pPr>
      <w:r>
        <w:rPr>
          <w:szCs w:val="21"/>
          <w:lang w:val="sv-SE"/>
        </w:rPr>
        <w:t>3.26 市场结算Market Settlement</w:t>
      </w:r>
    </w:p>
    <w:p>
      <w:pPr>
        <w:spacing w:line="300" w:lineRule="auto"/>
        <w:ind w:firstLine="480" w:firstLineChars="200"/>
        <w:rPr>
          <w:szCs w:val="21"/>
          <w:lang w:val="sv-SE"/>
        </w:rPr>
      </w:pPr>
      <w:r>
        <w:rPr>
          <w:szCs w:val="21"/>
          <w:lang w:val="sv-SE"/>
        </w:rPr>
        <w:t>根据交易结果和市场规则相关规定，对市场成员保证金、盈亏、手续费、交割货款和其它有关款项进行的计算、划拨。</w:t>
      </w:r>
    </w:p>
    <w:p>
      <w:pPr>
        <w:spacing w:line="300" w:lineRule="auto"/>
        <w:rPr>
          <w:szCs w:val="21"/>
          <w:lang w:val="sv-SE"/>
        </w:rPr>
      </w:pPr>
      <w:r>
        <w:rPr>
          <w:szCs w:val="21"/>
          <w:lang w:val="sv-SE"/>
        </w:rPr>
        <w:t>3.27 市场预测 Market Forecasting</w:t>
      </w:r>
    </w:p>
    <w:p>
      <w:pPr>
        <w:spacing w:line="300" w:lineRule="auto"/>
        <w:ind w:firstLine="480" w:firstLineChars="200"/>
        <w:rPr>
          <w:szCs w:val="21"/>
          <w:lang w:val="sv-SE"/>
        </w:rPr>
      </w:pPr>
      <w:r>
        <w:rPr>
          <w:szCs w:val="21"/>
          <w:lang w:val="sv-SE"/>
        </w:rPr>
        <w:t>对未来市场供需形势及发展走势进行预测的过程。</w:t>
      </w:r>
    </w:p>
    <w:p>
      <w:pPr>
        <w:spacing w:line="300" w:lineRule="auto"/>
        <w:rPr>
          <w:szCs w:val="21"/>
          <w:lang w:val="sv-SE"/>
        </w:rPr>
      </w:pPr>
      <w:r>
        <w:rPr>
          <w:szCs w:val="21"/>
          <w:lang w:val="sv-SE"/>
        </w:rPr>
        <w:t>3.28 市场评估分析 Market Analysis</w:t>
      </w:r>
    </w:p>
    <w:p>
      <w:pPr>
        <w:spacing w:line="300" w:lineRule="auto"/>
        <w:ind w:firstLine="480" w:firstLineChars="200"/>
        <w:rPr>
          <w:szCs w:val="21"/>
          <w:lang w:val="sv-SE"/>
        </w:rPr>
      </w:pPr>
      <w:r>
        <w:rPr>
          <w:szCs w:val="21"/>
          <w:lang w:val="sv-SE"/>
        </w:rPr>
        <w:t>通过建立指标体系，对市场供需、市场交易、市场结构、市场行为、市场效率、市场风险等内容进行统计、评估、分析的过程。</w:t>
      </w:r>
    </w:p>
    <w:p>
      <w:pPr>
        <w:spacing w:line="300" w:lineRule="auto"/>
        <w:rPr>
          <w:szCs w:val="21"/>
          <w:lang w:val="sv-SE"/>
        </w:rPr>
      </w:pPr>
      <w:r>
        <w:rPr>
          <w:szCs w:val="21"/>
          <w:lang w:val="sv-SE"/>
        </w:rPr>
        <w:t>3.29 信息发布 Information Disclosure</w:t>
      </w:r>
    </w:p>
    <w:p>
      <w:pPr>
        <w:spacing w:line="300" w:lineRule="auto"/>
        <w:ind w:firstLine="480" w:firstLineChars="200"/>
        <w:rPr>
          <w:szCs w:val="21"/>
          <w:lang w:val="sv-SE"/>
        </w:rPr>
      </w:pPr>
      <w:r>
        <w:rPr>
          <w:szCs w:val="21"/>
          <w:lang w:val="sv-SE"/>
        </w:rPr>
        <w:t>指向电力监管机构、市场成员</w:t>
      </w:r>
      <w:r>
        <w:rPr>
          <w:rFonts w:hint="eastAsia"/>
          <w:szCs w:val="21"/>
          <w:lang w:val="sv-SE"/>
        </w:rPr>
        <w:t>（不含市场运营机构）</w:t>
      </w:r>
      <w:r>
        <w:rPr>
          <w:szCs w:val="21"/>
          <w:lang w:val="sv-SE"/>
        </w:rPr>
        <w:t>及社会公众等发布电力市场相关信息的过程。</w:t>
      </w:r>
    </w:p>
    <w:p>
      <w:pPr>
        <w:spacing w:line="300" w:lineRule="auto"/>
        <w:rPr>
          <w:szCs w:val="21"/>
          <w:lang w:val="sv-SE"/>
        </w:rPr>
      </w:pPr>
      <w:r>
        <w:rPr>
          <w:szCs w:val="21"/>
          <w:lang w:val="sv-SE"/>
        </w:rPr>
        <w:t>3.30 市场监管 Market Regulation</w:t>
      </w:r>
    </w:p>
    <w:p>
      <w:pPr>
        <w:spacing w:line="300" w:lineRule="auto"/>
        <w:ind w:firstLine="480" w:firstLineChars="200"/>
        <w:rPr>
          <w:szCs w:val="21"/>
          <w:lang w:val="sv-SE"/>
        </w:rPr>
      </w:pPr>
      <w:r>
        <w:rPr>
          <w:szCs w:val="21"/>
          <w:lang w:val="sv-SE"/>
        </w:rPr>
        <w:t>根据有关法律、法规和规章，电力监管机构遵循市场规律对市场主体和市场运营机构及其</w:t>
      </w:r>
      <w:r>
        <w:rPr>
          <w:rFonts w:hint="eastAsia"/>
          <w:szCs w:val="21"/>
          <w:lang w:val="sv-SE"/>
        </w:rPr>
        <w:t>遵守电力市场运营规则的</w:t>
      </w:r>
      <w:r>
        <w:rPr>
          <w:szCs w:val="21"/>
          <w:lang w:val="sv-SE"/>
        </w:rPr>
        <w:t>行为进行的监督和管理</w:t>
      </w:r>
      <w:r>
        <w:rPr>
          <w:rFonts w:hint="eastAsia"/>
          <w:szCs w:val="21"/>
          <w:lang w:val="sv-SE"/>
        </w:rPr>
        <w:t>，</w:t>
      </w:r>
      <w:r>
        <w:rPr>
          <w:szCs w:val="21"/>
          <w:lang w:val="sv-SE"/>
        </w:rPr>
        <w:t>以实现电力市场竞争的合理、有序、公正、公平和公开。</w:t>
      </w:r>
    </w:p>
    <w:p>
      <w:pPr>
        <w:spacing w:line="300" w:lineRule="auto"/>
        <w:rPr>
          <w:szCs w:val="21"/>
          <w:lang w:val="sv-SE"/>
        </w:rPr>
      </w:pPr>
      <w:r>
        <w:rPr>
          <w:szCs w:val="21"/>
          <w:lang w:val="sv-SE"/>
        </w:rPr>
        <w:t>3.31 风险管控 Risk Management</w:t>
      </w:r>
    </w:p>
    <w:p>
      <w:pPr>
        <w:spacing w:line="300" w:lineRule="auto"/>
        <w:ind w:firstLine="480" w:firstLineChars="200"/>
        <w:rPr>
          <w:szCs w:val="21"/>
          <w:lang w:val="sv-SE"/>
        </w:rPr>
      </w:pPr>
      <w:r>
        <w:rPr>
          <w:szCs w:val="21"/>
          <w:lang w:val="sv-SE"/>
        </w:rPr>
        <w:t>通过识别、衡量、分析现货市场风险，并在此基础上有效控制风险，用最经济合理的方法综合处置风险，将风险导致的各种不利后果减小到最低限度的科学管理控制手段。</w:t>
      </w:r>
    </w:p>
    <w:p>
      <w:pPr>
        <w:spacing w:line="300" w:lineRule="auto"/>
        <w:rPr>
          <w:szCs w:val="21"/>
          <w:lang w:val="sv-SE"/>
        </w:rPr>
      </w:pPr>
      <w:r>
        <w:rPr>
          <w:szCs w:val="21"/>
          <w:lang w:val="sv-SE"/>
        </w:rPr>
        <w:t>3.32 阻塞管理Congestion Management</w:t>
      </w:r>
    </w:p>
    <w:p>
      <w:pPr>
        <w:spacing w:line="300" w:lineRule="auto"/>
        <w:ind w:firstLine="480" w:firstLineChars="200"/>
        <w:rPr>
          <w:szCs w:val="21"/>
          <w:lang w:val="sv-SE"/>
        </w:rPr>
      </w:pPr>
      <w:r>
        <w:rPr>
          <w:szCs w:val="21"/>
          <w:lang w:val="sv-SE"/>
        </w:rPr>
        <w:t>当市场出清过程中进行安全校核时，若输电线路潮流超出了安全约束，市场运营机构需根据一定原则调整发电机组出力，改变输电线路潮流使其符合安全约束，并且分配调整后产生的盈余或者成本。</w:t>
      </w:r>
    </w:p>
    <w:p>
      <w:pPr>
        <w:spacing w:line="300" w:lineRule="auto"/>
        <w:rPr>
          <w:szCs w:val="21"/>
          <w:lang w:val="sv-SE"/>
        </w:rPr>
      </w:pPr>
      <w:r>
        <w:rPr>
          <w:szCs w:val="21"/>
          <w:lang w:val="sv-SE"/>
        </w:rPr>
        <w:t>3.33 可用输电容量Available Transmission Capacity（ATC）</w:t>
      </w:r>
    </w:p>
    <w:p>
      <w:pPr>
        <w:spacing w:line="300" w:lineRule="auto"/>
        <w:ind w:firstLine="480" w:firstLineChars="200"/>
        <w:rPr>
          <w:szCs w:val="21"/>
          <w:lang w:val="sv-SE"/>
        </w:rPr>
      </w:pPr>
      <w:r>
        <w:rPr>
          <w:szCs w:val="21"/>
          <w:lang w:val="sv-SE"/>
        </w:rPr>
        <w:t>在现有的输电合同基础上，实际物理输电网络中剩余的、可用于商业使用的传输容量。</w:t>
      </w:r>
    </w:p>
    <w:p>
      <w:pPr>
        <w:spacing w:line="300" w:lineRule="auto"/>
        <w:rPr>
          <w:szCs w:val="21"/>
          <w:lang w:val="sv-SE"/>
        </w:rPr>
      </w:pPr>
      <w:r>
        <w:rPr>
          <w:szCs w:val="21"/>
          <w:lang w:val="sv-SE"/>
        </w:rPr>
        <w:t>3.34 网损Transmission Loss</w:t>
      </w:r>
    </w:p>
    <w:p>
      <w:pPr>
        <w:spacing w:line="300" w:lineRule="auto"/>
        <w:ind w:firstLine="480" w:firstLineChars="200"/>
        <w:rPr>
          <w:szCs w:val="21"/>
          <w:lang w:val="sv-SE"/>
        </w:rPr>
      </w:pPr>
      <w:r>
        <w:t>电能量</w:t>
      </w:r>
      <w:r>
        <w:rPr>
          <w:szCs w:val="21"/>
          <w:lang w:val="sv-SE"/>
        </w:rPr>
        <w:t>输送过程中以热能形式散发的功率损失，即为电阻、电导消耗的有功功率。</w:t>
      </w:r>
    </w:p>
    <w:p>
      <w:pPr>
        <w:spacing w:line="300" w:lineRule="auto"/>
        <w:rPr>
          <w:szCs w:val="21"/>
          <w:lang w:val="sv-SE"/>
        </w:rPr>
      </w:pPr>
      <w:r>
        <w:rPr>
          <w:szCs w:val="21"/>
          <w:lang w:val="sv-SE"/>
        </w:rPr>
        <w:t>3.35 调频服务Frequency Regulation Service</w:t>
      </w:r>
    </w:p>
    <w:p>
      <w:pPr>
        <w:spacing w:line="300" w:lineRule="auto"/>
        <w:ind w:firstLine="480" w:firstLineChars="200"/>
        <w:rPr>
          <w:szCs w:val="21"/>
          <w:lang w:val="sv-SE"/>
        </w:rPr>
      </w:pPr>
      <w:r>
        <w:rPr>
          <w:szCs w:val="21"/>
          <w:lang w:val="sv-SE"/>
        </w:rPr>
        <w:t>当电力系统频率偏离目标频率时，发电企业、电力用户和独立辅助服务提供商等在短时间内调整有功出力跟踪负荷变化，以维持电力系统频率的稳定所提供的服务。调频服务分为一次调频、二次调频、三次调频。</w:t>
      </w:r>
    </w:p>
    <w:p>
      <w:pPr>
        <w:spacing w:line="300" w:lineRule="auto"/>
        <w:rPr>
          <w:szCs w:val="21"/>
          <w:lang w:val="sv-SE"/>
        </w:rPr>
      </w:pPr>
      <w:r>
        <w:rPr>
          <w:szCs w:val="21"/>
          <w:lang w:val="sv-SE"/>
        </w:rPr>
        <w:t>3.36 备用服务Capacity Reserve Service</w:t>
      </w:r>
    </w:p>
    <w:p>
      <w:pPr>
        <w:spacing w:line="300" w:lineRule="auto"/>
        <w:ind w:firstLine="480" w:firstLineChars="200"/>
        <w:rPr>
          <w:szCs w:val="21"/>
          <w:lang w:val="sv-SE"/>
        </w:rPr>
      </w:pPr>
      <w:r>
        <w:rPr>
          <w:szCs w:val="21"/>
          <w:lang w:val="sv-SE"/>
        </w:rPr>
        <w:t>在电力系统运行状态发生变化时，为确保电力供需平衡，发电侧或负荷侧保留的容量备用所提供的服务。备用分为旋转备用和非旋转备用。</w:t>
      </w:r>
    </w:p>
    <w:p>
      <w:pPr>
        <w:spacing w:line="300" w:lineRule="auto"/>
        <w:rPr>
          <w:szCs w:val="21"/>
          <w:lang w:val="sv-SE"/>
        </w:rPr>
      </w:pPr>
      <w:r>
        <w:rPr>
          <w:szCs w:val="21"/>
          <w:lang w:val="sv-SE"/>
        </w:rPr>
        <w:t>3.37 平衡机制 Balancing Mechanism</w:t>
      </w:r>
    </w:p>
    <w:p>
      <w:pPr>
        <w:spacing w:line="300" w:lineRule="auto"/>
        <w:ind w:firstLine="480" w:firstLineChars="200"/>
        <w:rPr>
          <w:szCs w:val="21"/>
          <w:lang w:val="sv-SE"/>
        </w:rPr>
      </w:pPr>
      <w:r>
        <w:rPr>
          <w:szCs w:val="21"/>
          <w:lang w:val="sv-SE"/>
        </w:rPr>
        <w:t>运行日（D日）进行的决定运行日（D日）未来5-15分钟最终调度资源分配状态和计划以保持系统发用电平衡的市场机制。</w:t>
      </w:r>
    </w:p>
    <w:bookmarkEnd w:id="10"/>
    <w:bookmarkEnd w:id="11"/>
    <w:p>
      <w:pPr>
        <w:pStyle w:val="2"/>
      </w:pPr>
      <w:bookmarkStart w:id="19" w:name="_Toc511389181"/>
      <w:r>
        <w:t>总体要求</w:t>
      </w:r>
      <w:bookmarkEnd w:id="19"/>
    </w:p>
    <w:p>
      <w:pPr>
        <w:spacing w:line="300" w:lineRule="auto"/>
        <w:rPr>
          <w:color w:val="000000" w:themeColor="text1"/>
          <w14:textFill>
            <w14:solidFill>
              <w14:schemeClr w14:val="tx1"/>
            </w14:solidFill>
          </w14:textFill>
        </w:rPr>
      </w:pPr>
      <w:r>
        <w:rPr>
          <w:color w:val="000000" w:themeColor="text1"/>
          <w14:textFill>
            <w14:solidFill>
              <w14:schemeClr w14:val="tx1"/>
            </w14:solidFill>
          </w14:textFill>
        </w:rPr>
        <w:t>4.1  电力现货市场运营系统</w:t>
      </w:r>
      <w:r>
        <w:rPr>
          <w:rFonts w:hint="eastAsia"/>
          <w:color w:val="000000" w:themeColor="text1"/>
          <w14:textFill>
            <w14:solidFill>
              <w14:schemeClr w14:val="tx1"/>
            </w14:solidFill>
          </w14:textFill>
        </w:rPr>
        <w:t>（以下</w:t>
      </w:r>
      <w:r>
        <w:rPr>
          <w:color w:val="000000" w:themeColor="text1"/>
          <w14:textFill>
            <w14:solidFill>
              <w14:schemeClr w14:val="tx1"/>
            </w14:solidFill>
          </w14:textFill>
        </w:rPr>
        <w:t>简称：运营系统</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应满足电力现货市场的市场规则和发展目标，满足现货市场运营的功能要求，保证系统的实用性和适用性。</w:t>
      </w:r>
    </w:p>
    <w:p>
      <w:pPr>
        <w:spacing w:line="300" w:lineRule="auto"/>
        <w:rPr>
          <w:color w:val="000000" w:themeColor="text1"/>
          <w14:textFill>
            <w14:solidFill>
              <w14:schemeClr w14:val="tx1"/>
            </w14:solidFill>
          </w14:textFill>
        </w:rPr>
      </w:pPr>
      <w:r>
        <w:rPr>
          <w:color w:val="000000" w:themeColor="text1"/>
          <w14:textFill>
            <w14:solidFill>
              <w14:schemeClr w14:val="tx1"/>
            </w14:solidFill>
          </w14:textFill>
        </w:rPr>
        <w:t>4.2  运营系统应支持功能和部署</w:t>
      </w:r>
      <w:r>
        <w:rPr>
          <w:rFonts w:hint="eastAsia"/>
          <w:color w:val="000000" w:themeColor="text1"/>
          <w14:textFill>
            <w14:solidFill>
              <w14:schemeClr w14:val="tx1"/>
            </w14:solidFill>
          </w14:textFill>
        </w:rPr>
        <w:t>方式</w:t>
      </w:r>
      <w:r>
        <w:rPr>
          <w:color w:val="000000" w:themeColor="text1"/>
          <w14:textFill>
            <w14:solidFill>
              <w14:schemeClr w14:val="tx1"/>
            </w14:solidFill>
          </w14:textFill>
        </w:rPr>
        <w:t>的灵活扩展，并具备可维护性，适应电力现货市场逐步发展完善的需要。</w:t>
      </w:r>
    </w:p>
    <w:p>
      <w:pPr>
        <w:spacing w:line="300" w:lineRule="auto"/>
        <w:rPr>
          <w:color w:val="000000" w:themeColor="text1"/>
          <w14:textFill>
            <w14:solidFill>
              <w14:schemeClr w14:val="tx1"/>
            </w14:solidFill>
          </w14:textFill>
        </w:rPr>
      </w:pPr>
      <w:r>
        <w:rPr>
          <w:color w:val="000000" w:themeColor="text1"/>
          <w14:textFill>
            <w14:solidFill>
              <w14:schemeClr w14:val="tx1"/>
            </w14:solidFill>
          </w14:textFill>
        </w:rPr>
        <w:t>4.3  运营系统应提供与电力现货市场结算系统、能量管理系统等其它相关系统之间的数据交换接口，提供与其它电力现货市场运营系统之间的数据交换接口。</w:t>
      </w:r>
    </w:p>
    <w:p>
      <w:pPr>
        <w:spacing w:line="300" w:lineRule="auto"/>
        <w:rPr>
          <w:color w:val="000000" w:themeColor="text1"/>
          <w14:textFill>
            <w14:solidFill>
              <w14:schemeClr w14:val="tx1"/>
            </w14:solidFill>
          </w14:textFill>
        </w:rPr>
      </w:pPr>
      <w:r>
        <w:rPr>
          <w:color w:val="000000" w:themeColor="text1"/>
          <w14:textFill>
            <w14:solidFill>
              <w14:schemeClr w14:val="tx1"/>
            </w14:solidFill>
          </w14:textFill>
        </w:rPr>
        <w:t>4.4  运营系统应保障市场运营所需的交易安全、数据安全和网络安全。建立统一的数据管理体系，保障数据的完整性、准确性、可靠性、及时性和一致性。</w:t>
      </w:r>
    </w:p>
    <w:p>
      <w:pPr>
        <w:spacing w:line="300" w:lineRule="auto"/>
        <w:rPr>
          <w:color w:val="000000" w:themeColor="text1"/>
          <w14:textFill>
            <w14:solidFill>
              <w14:schemeClr w14:val="tx1"/>
            </w14:solidFill>
          </w14:textFill>
        </w:rPr>
      </w:pPr>
      <w:r>
        <w:rPr>
          <w:color w:val="000000" w:themeColor="text1"/>
          <w14:textFill>
            <w14:solidFill>
              <w14:schemeClr w14:val="tx1"/>
            </w14:solidFill>
          </w14:textFill>
        </w:rPr>
        <w:t>4.5  运营系统应具备市场暂停或运营系统故障全停等意外情况下的应急措施和恢复措施。</w:t>
      </w:r>
    </w:p>
    <w:p>
      <w:pPr>
        <w:spacing w:line="300" w:lineRule="auto"/>
        <w:rPr>
          <w:color w:val="000000" w:themeColor="text1"/>
          <w14:textFill>
            <w14:solidFill>
              <w14:schemeClr w14:val="tx1"/>
            </w14:solidFill>
          </w14:textFill>
        </w:rPr>
      </w:pPr>
      <w:r>
        <w:rPr>
          <w:color w:val="000000" w:themeColor="text1"/>
          <w14:textFill>
            <w14:solidFill>
              <w14:schemeClr w14:val="tx1"/>
            </w14:solidFill>
          </w14:textFill>
        </w:rPr>
        <w:t>4.6  运营系统建设应充分利用现有数据网络、安全防护、数据采集、通信等设施，尽量复用已有系统或功能模块，降低建设成本。</w:t>
      </w:r>
    </w:p>
    <w:p>
      <w:pPr>
        <w:pStyle w:val="2"/>
      </w:pPr>
      <w:bookmarkStart w:id="20" w:name="_Toc502677521"/>
      <w:bookmarkEnd w:id="20"/>
      <w:bookmarkStart w:id="21" w:name="_Toc502677519"/>
      <w:bookmarkEnd w:id="21"/>
      <w:bookmarkStart w:id="22" w:name="_Toc502677520"/>
      <w:bookmarkEnd w:id="22"/>
      <w:bookmarkStart w:id="23" w:name="_Toc502677523"/>
      <w:bookmarkEnd w:id="23"/>
      <w:bookmarkStart w:id="24" w:name="_Toc502677526"/>
      <w:bookmarkEnd w:id="24"/>
      <w:bookmarkStart w:id="25" w:name="_Toc502677524"/>
      <w:bookmarkEnd w:id="25"/>
      <w:bookmarkStart w:id="26" w:name="_Toc502677522"/>
      <w:bookmarkEnd w:id="26"/>
      <w:bookmarkStart w:id="27" w:name="_Toc502677525"/>
      <w:bookmarkEnd w:id="27"/>
      <w:bookmarkStart w:id="28" w:name="_Toc511389182"/>
      <w:r>
        <w:t>电力现货市场运营系统总体框架</w:t>
      </w:r>
      <w:bookmarkEnd w:id="28"/>
    </w:p>
    <w:p>
      <w:pPr>
        <w:spacing w:line="300" w:lineRule="auto"/>
        <w:ind w:firstLine="480" w:firstLineChars="200"/>
        <w:jc w:val="left"/>
        <w:rPr>
          <w:szCs w:val="21"/>
        </w:rPr>
      </w:pPr>
      <w:r>
        <w:rPr>
          <w:szCs w:val="21"/>
        </w:rPr>
        <w:t>分散式运营系统主要由市场成员管理、数据管理、市场申报、信息发布、中长期合同管理、日前市场、平衡机制、安全校核、市场评估分析、市场风险管控、市场监管、市场成员服务</w:t>
      </w:r>
      <w:r>
        <w:rPr>
          <w:rFonts w:hint="eastAsia"/>
          <w:szCs w:val="21"/>
        </w:rPr>
        <w:t>及</w:t>
      </w:r>
      <w:r>
        <w:rPr>
          <w:szCs w:val="21"/>
        </w:rPr>
        <w:t>系统管理等子系统组成；另外可提供日内市场子系统，适应开展日内现货市场交易的地区；可提供辅助服务市场子系统，适应开展调频、备用</w:t>
      </w:r>
      <w:r>
        <w:rPr>
          <w:rFonts w:hint="eastAsia"/>
          <w:szCs w:val="21"/>
        </w:rPr>
        <w:t>等</w:t>
      </w:r>
      <w:r>
        <w:rPr>
          <w:szCs w:val="21"/>
        </w:rPr>
        <w:t>辅助服务市场</w:t>
      </w:r>
      <w:r>
        <w:rPr>
          <w:rFonts w:hint="eastAsia"/>
          <w:szCs w:val="21"/>
        </w:rPr>
        <w:t>的</w:t>
      </w:r>
      <w:r>
        <w:rPr>
          <w:szCs w:val="21"/>
        </w:rPr>
        <w:t>地区。</w:t>
      </w:r>
    </w:p>
    <w:p>
      <w:pPr>
        <w:jc w:val="center"/>
      </w:pPr>
      <w:r>
        <w:drawing>
          <wp:inline distT="0" distB="0" distL="0" distR="0">
            <wp:extent cx="5759450" cy="3571240"/>
            <wp:effectExtent l="0" t="0" r="0" b="0"/>
            <wp:docPr id="41" name="图片 41" descr="D:\2018项目\电规总院\功能规范修改\图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D:\2018项目\电规总院\功能规范修改\图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759450" cy="3571688"/>
                    </a:xfrm>
                    <a:prstGeom prst="rect">
                      <a:avLst/>
                    </a:prstGeom>
                    <a:noFill/>
                    <a:ln>
                      <a:noFill/>
                    </a:ln>
                  </pic:spPr>
                </pic:pic>
              </a:graphicData>
            </a:graphic>
          </wp:inline>
        </w:drawing>
      </w:r>
    </w:p>
    <w:p>
      <w:pPr>
        <w:spacing w:line="300" w:lineRule="auto"/>
        <w:jc w:val="center"/>
        <w:rPr>
          <w:szCs w:val="21"/>
          <w:lang w:val="sv-SE"/>
        </w:rPr>
      </w:pPr>
      <w:r>
        <w:rPr>
          <w:szCs w:val="21"/>
          <w:lang w:val="sv-SE"/>
        </w:rPr>
        <w:t>图1  分散式电力现货市场运营系统逻辑结构示意图</w:t>
      </w:r>
    </w:p>
    <w:p>
      <w:pPr>
        <w:spacing w:line="300" w:lineRule="auto"/>
        <w:ind w:firstLine="480" w:firstLineChars="200"/>
        <w:rPr>
          <w:szCs w:val="21"/>
          <w:lang w:val="sv-SE"/>
        </w:rPr>
      </w:pPr>
      <w:r>
        <w:rPr>
          <w:szCs w:val="21"/>
          <w:lang w:val="sv-SE"/>
        </w:rPr>
        <w:t>系统的逻辑结构如图1所示，应满足以下功能：</w:t>
      </w:r>
    </w:p>
    <w:p>
      <w:pPr>
        <w:spacing w:line="30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日前市场、日内市场、平衡机制和辅助服务市场是运营系统的核心子系统。在相应的时间节点上，市场参与者通过市场申报子系统参与日前市场、日内市场、平衡机制和辅助服务市场报价。</w:t>
      </w:r>
    </w:p>
    <w:p>
      <w:pPr>
        <w:spacing w:line="300" w:lineRule="auto"/>
        <w:ind w:firstLine="480" w:firstLineChars="200"/>
      </w:pPr>
      <w:r>
        <w:t>中长期合同管理子系统接收与管理市场</w:t>
      </w:r>
      <w:r>
        <w:rPr>
          <w:rFonts w:hint="eastAsia"/>
        </w:rPr>
        <w:t>主体</w:t>
      </w:r>
      <w:r>
        <w:t>自行分解并提交的日交易曲线，并提供中长期实物合同的分解与管理等功能。</w:t>
      </w:r>
    </w:p>
    <w:p>
      <w:pPr>
        <w:spacing w:line="30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日前市场根据市场申报子系统中上调/下调报价数据、负荷预测等信息，考虑约束条件和优化目标，优化计算出次日组合计划和出力计划。出清结果发送给安全校核子系统进行交流潮流计算，出现设备或断面越限时，由安全校核反馈越限信息至</w:t>
      </w:r>
      <w:r>
        <w:rPr>
          <w:szCs w:val="21"/>
          <w:lang w:val="sv-SE"/>
        </w:rPr>
        <w:t>安全约束机组组合</w:t>
      </w:r>
      <w:r>
        <w:rPr>
          <w:rFonts w:hint="eastAsia"/>
          <w:szCs w:val="21"/>
          <w:lang w:val="sv-SE"/>
        </w:rPr>
        <w:t>（SCUC）</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安全</w:t>
      </w:r>
      <w:r>
        <w:rPr>
          <w:color w:val="000000" w:themeColor="text1"/>
          <w14:textFill>
            <w14:solidFill>
              <w14:schemeClr w14:val="tx1"/>
            </w14:solidFill>
          </w14:textFill>
        </w:rPr>
        <w:t>约束经济调度（</w:t>
      </w:r>
      <w:r>
        <w:rPr>
          <w:rFonts w:hint="eastAsia"/>
          <w:color w:val="000000" w:themeColor="text1"/>
          <w14:textFill>
            <w14:solidFill>
              <w14:schemeClr w14:val="tx1"/>
            </w14:solidFill>
          </w14:textFill>
        </w:rPr>
        <w:t>SCED</w:t>
      </w:r>
      <w:r>
        <w:rPr>
          <w:color w:val="000000" w:themeColor="text1"/>
          <w14:textFill>
            <w14:solidFill>
              <w14:schemeClr w14:val="tx1"/>
            </w14:solidFill>
          </w14:textFill>
        </w:rPr>
        <w:t>）重新进行优化计算，直至生成满足安全约束条件的市场出清结果。日前市场的出清结果将发送给信息发布子系统、日内市场子系统和结算系统。</w:t>
      </w:r>
      <w:r>
        <w:t>日前市场也可按市场规则采用</w:t>
      </w:r>
      <w:r>
        <w:rPr>
          <w:rFonts w:hint="eastAsia"/>
        </w:rPr>
        <w:t>边际</w:t>
      </w:r>
      <w:r>
        <w:t>出清</w:t>
      </w:r>
      <w:r>
        <w:rPr>
          <w:rFonts w:hint="eastAsia"/>
        </w:rPr>
        <w:t>等</w:t>
      </w:r>
      <w:r>
        <w:t>其它模式。</w:t>
      </w:r>
    </w:p>
    <w:p>
      <w:pPr>
        <w:spacing w:line="30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日内市场根据市场申报子系统中日内上调/下调报价数据、日前出清结果、最新负荷预测需求，采用SCUC或SCED计算出未来多小时多个时段的最优的快速启动机组的启停计划。计算结果发送给信息发布子系统、平衡机制子系统和结算系统。</w:t>
      </w:r>
      <w:r>
        <w:t>日</w:t>
      </w:r>
      <w:r>
        <w:rPr>
          <w:rFonts w:hint="eastAsia"/>
        </w:rPr>
        <w:t>内</w:t>
      </w:r>
      <w:r>
        <w:t>市场也可按市场规则采用</w:t>
      </w:r>
      <w:r>
        <w:rPr>
          <w:rFonts w:hint="eastAsia"/>
        </w:rPr>
        <w:t>其它出清</w:t>
      </w:r>
      <w:r>
        <w:t>模式</w:t>
      </w:r>
      <w:r>
        <w:rPr>
          <w:rFonts w:hint="eastAsia"/>
        </w:rPr>
        <w:t>。</w:t>
      </w:r>
    </w:p>
    <w:p>
      <w:pPr>
        <w:spacing w:line="30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平衡机制根据最新负荷预测需求和平衡机制上调/下调报价，采用SCED</w:t>
      </w:r>
      <w:r>
        <w:rPr>
          <w:rFonts w:hint="eastAsia"/>
          <w:color w:val="000000" w:themeColor="text1"/>
          <w14:textFill>
            <w14:solidFill>
              <w14:schemeClr w14:val="tx1"/>
            </w14:solidFill>
          </w14:textFill>
        </w:rPr>
        <w:t>或市场规则规定的其它机制</w:t>
      </w:r>
      <w:r>
        <w:rPr>
          <w:color w:val="000000" w:themeColor="text1"/>
          <w14:textFill>
            <w14:solidFill>
              <w14:schemeClr w14:val="tx1"/>
            </w14:solidFill>
          </w14:textFill>
        </w:rPr>
        <w:t>滚动计算未来一段时间的市场出清结果，市场出清结果送到电网调控系统进行控制执行。同时发送给信息发布子系统和结算系统。</w:t>
      </w:r>
    </w:p>
    <w:p>
      <w:pPr>
        <w:spacing w:line="300" w:lineRule="auto"/>
        <w:ind w:firstLine="480" w:firstLineChars="200"/>
        <w:rPr>
          <w:szCs w:val="21"/>
          <w:lang w:val="sv-SE"/>
        </w:rPr>
      </w:pPr>
      <w:r>
        <w:rPr>
          <w:szCs w:val="21"/>
          <w:lang w:val="sv-SE"/>
        </w:rPr>
        <w:t>辅助服务市场子系统</w:t>
      </w:r>
      <w:r>
        <w:rPr>
          <w:color w:val="000000" w:themeColor="text1"/>
          <w14:textFill>
            <w14:solidFill>
              <w14:schemeClr w14:val="tx1"/>
            </w14:solidFill>
          </w14:textFill>
        </w:rPr>
        <w:t>应支持辅助服务市场的辅助服务交易，并对执行情况进行监控。</w:t>
      </w:r>
      <w:r>
        <w:t>支持与电能量联合出清模式和独立出清模式。</w:t>
      </w:r>
    </w:p>
    <w:p>
      <w:pPr>
        <w:spacing w:line="30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风险管控与市场监管子系统为市场运营机构与市场监管机构对市场的管控与监管提供技术支持。市场监管拥有足够的信息权限，可以查看监管所需要的任何市场信息。</w:t>
      </w:r>
    </w:p>
    <w:p>
      <w:pPr>
        <w:spacing w:line="30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数据管理、系统管理、市场成员服务、市场成员管理是运营系统辅助模块，为系统提供基础数据的管理与维护。市场成员主要通过数据申报子系统与信息发布子系统经互联网与系统交互，整个系统由安全防护机制进行保护。</w:t>
      </w:r>
    </w:p>
    <w:p>
      <w:pPr>
        <w:spacing w:line="30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运营系统应提供与电力中长期交易平台、结算系统、电网调度控制系统等其它相关系统之间的数据交换接口，实现横向集成；运营系统应提供与其它电力现货市场运营系统之间的数据交换接口，实现纵向贯通。</w:t>
      </w:r>
    </w:p>
    <w:bookmarkEnd w:id="6"/>
    <w:bookmarkEnd w:id="7"/>
    <w:bookmarkEnd w:id="8"/>
    <w:bookmarkEnd w:id="12"/>
    <w:p>
      <w:pPr>
        <w:pStyle w:val="2"/>
      </w:pPr>
      <w:bookmarkStart w:id="29" w:name="_Toc502677561"/>
      <w:bookmarkEnd w:id="29"/>
      <w:bookmarkStart w:id="30" w:name="_Toc502677557"/>
      <w:bookmarkEnd w:id="30"/>
      <w:bookmarkStart w:id="31" w:name="_Toc502677553"/>
      <w:bookmarkEnd w:id="31"/>
      <w:bookmarkStart w:id="32" w:name="_Toc502677564"/>
      <w:bookmarkEnd w:id="32"/>
      <w:bookmarkStart w:id="33" w:name="_Toc502677559"/>
      <w:bookmarkEnd w:id="33"/>
      <w:bookmarkStart w:id="34" w:name="_Toc502677566"/>
      <w:bookmarkEnd w:id="34"/>
      <w:bookmarkStart w:id="35" w:name="_Toc502677568"/>
      <w:bookmarkEnd w:id="35"/>
      <w:bookmarkStart w:id="36" w:name="_Toc502677560"/>
      <w:bookmarkEnd w:id="36"/>
      <w:bookmarkStart w:id="37" w:name="_Toc502677554"/>
      <w:bookmarkEnd w:id="37"/>
      <w:bookmarkStart w:id="38" w:name="_Toc502677555"/>
      <w:bookmarkEnd w:id="38"/>
      <w:bookmarkStart w:id="39" w:name="_Toc502677567"/>
      <w:bookmarkEnd w:id="39"/>
      <w:bookmarkStart w:id="40" w:name="_Toc502677569"/>
      <w:bookmarkEnd w:id="40"/>
      <w:bookmarkStart w:id="41" w:name="_Toc502677570"/>
      <w:bookmarkEnd w:id="41"/>
      <w:bookmarkStart w:id="42" w:name="_Toc502677565"/>
      <w:bookmarkEnd w:id="42"/>
      <w:bookmarkStart w:id="43" w:name="_Toc502677574"/>
      <w:bookmarkEnd w:id="43"/>
      <w:bookmarkStart w:id="44" w:name="_Toc502677576"/>
      <w:bookmarkEnd w:id="44"/>
      <w:bookmarkStart w:id="45" w:name="_Toc502677562"/>
      <w:bookmarkEnd w:id="45"/>
      <w:bookmarkStart w:id="46" w:name="_Toc502677577"/>
      <w:bookmarkEnd w:id="46"/>
      <w:bookmarkStart w:id="47" w:name="_Toc502677572"/>
      <w:bookmarkEnd w:id="47"/>
      <w:bookmarkStart w:id="48" w:name="_Toc502677573"/>
      <w:bookmarkEnd w:id="48"/>
      <w:bookmarkStart w:id="49" w:name="_Toc502677578"/>
      <w:bookmarkEnd w:id="49"/>
      <w:bookmarkStart w:id="50" w:name="_Toc502677563"/>
      <w:bookmarkEnd w:id="50"/>
      <w:bookmarkStart w:id="51" w:name="_Toc502677556"/>
      <w:bookmarkEnd w:id="51"/>
      <w:bookmarkStart w:id="52" w:name="_Toc502677558"/>
      <w:bookmarkEnd w:id="52"/>
      <w:bookmarkStart w:id="53" w:name="_Toc502677571"/>
      <w:bookmarkEnd w:id="53"/>
      <w:bookmarkStart w:id="54" w:name="_Toc502677575"/>
      <w:bookmarkEnd w:id="54"/>
      <w:bookmarkStart w:id="55" w:name="_Toc502677591"/>
      <w:bookmarkEnd w:id="55"/>
      <w:bookmarkStart w:id="56" w:name="_Toc502677581"/>
      <w:bookmarkEnd w:id="56"/>
      <w:bookmarkStart w:id="57" w:name="_Toc502677594"/>
      <w:bookmarkEnd w:id="57"/>
      <w:bookmarkStart w:id="58" w:name="_Toc502677596"/>
      <w:bookmarkEnd w:id="58"/>
      <w:bookmarkStart w:id="59" w:name="_Toc502677601"/>
      <w:bookmarkEnd w:id="59"/>
      <w:bookmarkStart w:id="60" w:name="_Toc502677598"/>
      <w:bookmarkEnd w:id="60"/>
      <w:bookmarkStart w:id="61" w:name="_Toc502677609"/>
      <w:bookmarkEnd w:id="61"/>
      <w:bookmarkStart w:id="62" w:name="_Toc502677590"/>
      <w:bookmarkEnd w:id="62"/>
      <w:bookmarkStart w:id="63" w:name="_Toc502677599"/>
      <w:bookmarkEnd w:id="63"/>
      <w:bookmarkStart w:id="64" w:name="_Toc502677586"/>
      <w:bookmarkEnd w:id="64"/>
      <w:bookmarkStart w:id="65" w:name="_Toc502677608"/>
      <w:bookmarkEnd w:id="65"/>
      <w:bookmarkStart w:id="66" w:name="_Toc502677580"/>
      <w:bookmarkEnd w:id="66"/>
      <w:bookmarkStart w:id="67" w:name="_Toc502677583"/>
      <w:bookmarkEnd w:id="67"/>
      <w:bookmarkStart w:id="68" w:name="_Toc502677587"/>
      <w:bookmarkEnd w:id="68"/>
      <w:bookmarkStart w:id="69" w:name="_Toc502677588"/>
      <w:bookmarkEnd w:id="69"/>
      <w:bookmarkStart w:id="70" w:name="_Toc502677592"/>
      <w:bookmarkEnd w:id="70"/>
      <w:bookmarkStart w:id="71" w:name="_Toc502677584"/>
      <w:bookmarkEnd w:id="71"/>
      <w:bookmarkStart w:id="72" w:name="_Toc502677603"/>
      <w:bookmarkEnd w:id="72"/>
      <w:bookmarkStart w:id="73" w:name="_Toc502677606"/>
      <w:bookmarkEnd w:id="73"/>
      <w:bookmarkStart w:id="74" w:name="_Toc502677589"/>
      <w:bookmarkEnd w:id="74"/>
      <w:bookmarkStart w:id="75" w:name="_Toc502677604"/>
      <w:bookmarkEnd w:id="75"/>
      <w:bookmarkStart w:id="76" w:name="_Toc502677585"/>
      <w:bookmarkEnd w:id="76"/>
      <w:bookmarkStart w:id="77" w:name="_Toc502677582"/>
      <w:bookmarkEnd w:id="77"/>
      <w:bookmarkStart w:id="78" w:name="_Toc502677607"/>
      <w:bookmarkEnd w:id="78"/>
      <w:bookmarkStart w:id="79" w:name="_Toc502677610"/>
      <w:bookmarkEnd w:id="79"/>
      <w:bookmarkStart w:id="80" w:name="_Toc502677595"/>
      <w:bookmarkEnd w:id="80"/>
      <w:bookmarkStart w:id="81" w:name="_Toc502677602"/>
      <w:bookmarkEnd w:id="81"/>
      <w:bookmarkStart w:id="82" w:name="_Toc502677593"/>
      <w:bookmarkEnd w:id="82"/>
      <w:bookmarkStart w:id="83" w:name="_Toc502677597"/>
      <w:bookmarkEnd w:id="83"/>
      <w:bookmarkStart w:id="84" w:name="_Toc502677605"/>
      <w:bookmarkEnd w:id="84"/>
      <w:bookmarkStart w:id="85" w:name="_Toc502677579"/>
      <w:bookmarkEnd w:id="85"/>
      <w:bookmarkStart w:id="86" w:name="_Toc502677600"/>
      <w:bookmarkEnd w:id="86"/>
      <w:bookmarkStart w:id="87" w:name="_Toc502677611"/>
      <w:bookmarkEnd w:id="87"/>
      <w:bookmarkStart w:id="88" w:name="_Toc502677613"/>
      <w:bookmarkEnd w:id="88"/>
      <w:bookmarkStart w:id="89" w:name="_Toc502677612"/>
      <w:bookmarkEnd w:id="89"/>
      <w:bookmarkStart w:id="90" w:name="_Toc511389183"/>
      <w:bookmarkStart w:id="91" w:name="_Toc496104759"/>
      <w:r>
        <w:t>各子系统功能规范</w:t>
      </w:r>
      <w:bookmarkEnd w:id="90"/>
    </w:p>
    <w:p>
      <w:pPr>
        <w:pStyle w:val="3"/>
      </w:pPr>
      <w:bookmarkStart w:id="92" w:name="_Toc511389184"/>
      <w:bookmarkStart w:id="93" w:name="_Toc500597437"/>
      <w:r>
        <w:t>市场成员管理</w:t>
      </w:r>
      <w:bookmarkEnd w:id="92"/>
      <w:bookmarkEnd w:id="93"/>
    </w:p>
    <w:p>
      <w:pPr>
        <w:pStyle w:val="53"/>
        <w:spacing w:line="300" w:lineRule="auto"/>
        <w:ind w:firstLine="480"/>
        <w:rPr>
          <w:szCs w:val="21"/>
        </w:rPr>
      </w:pPr>
      <w:r>
        <w:rPr>
          <w:szCs w:val="21"/>
        </w:rPr>
        <w:t>市场成员管理对符合准入条件的</w:t>
      </w:r>
      <w:r>
        <w:rPr>
          <w:rFonts w:hint="eastAsia"/>
          <w:szCs w:val="21"/>
        </w:rPr>
        <w:t>电网运营企业、发电企业、售电企业、电力用户、独立的辅助服务提供商</w:t>
      </w:r>
      <w:r>
        <w:rPr>
          <w:szCs w:val="21"/>
        </w:rPr>
        <w:t>等各类</w:t>
      </w:r>
      <w:r>
        <w:rPr>
          <w:rFonts w:hint="eastAsia"/>
          <w:szCs w:val="21"/>
        </w:rPr>
        <w:t>市场成员</w:t>
      </w:r>
      <w:r>
        <w:rPr>
          <w:szCs w:val="21"/>
        </w:rPr>
        <w:t>，提供相关信息的注册、变更、退出、维护以及市场管理信息导出功能。</w:t>
      </w:r>
    </w:p>
    <w:p>
      <w:pPr>
        <w:pStyle w:val="4"/>
      </w:pPr>
      <w:bookmarkStart w:id="94" w:name="_Toc511389185"/>
      <w:r>
        <w:t>功能要求</w:t>
      </w:r>
      <w:bookmarkEnd w:id="94"/>
    </w:p>
    <w:p>
      <w:pPr>
        <w:pStyle w:val="5"/>
        <w:rPr>
          <w:rFonts w:ascii="Times New Roman" w:hAnsi="Times New Roman"/>
        </w:rPr>
      </w:pPr>
      <w:r>
        <w:rPr>
          <w:rFonts w:ascii="Times New Roman" w:hAnsi="Times New Roman"/>
        </w:rPr>
        <w:t>市场成员分类管理</w:t>
      </w:r>
    </w:p>
    <w:p>
      <w:pPr>
        <w:pStyle w:val="53"/>
        <w:numPr>
          <w:ilvl w:val="0"/>
          <w:numId w:val="4"/>
        </w:numPr>
        <w:spacing w:line="300" w:lineRule="auto"/>
        <w:ind w:firstLineChars="0"/>
        <w:rPr>
          <w:snapToGrid w:val="0"/>
        </w:rPr>
      </w:pPr>
      <w:r>
        <w:rPr>
          <w:snapToGrid w:val="0"/>
        </w:rPr>
        <w:t>支持对市场成员类型进行维护和管理；</w:t>
      </w:r>
    </w:p>
    <w:p>
      <w:pPr>
        <w:pStyle w:val="53"/>
        <w:numPr>
          <w:ilvl w:val="0"/>
          <w:numId w:val="4"/>
        </w:numPr>
        <w:spacing w:line="300" w:lineRule="auto"/>
        <w:ind w:firstLineChars="0"/>
        <w:rPr>
          <w:snapToGrid w:val="0"/>
        </w:rPr>
      </w:pPr>
      <w:r>
        <w:rPr>
          <w:snapToGrid w:val="0"/>
        </w:rPr>
        <w:t>支持对不同类型市场成员进行角色功能设置和分配。</w:t>
      </w:r>
    </w:p>
    <w:p>
      <w:pPr>
        <w:pStyle w:val="5"/>
        <w:rPr>
          <w:rFonts w:ascii="Times New Roman" w:hAnsi="Times New Roman"/>
        </w:rPr>
      </w:pPr>
      <w:r>
        <w:rPr>
          <w:rFonts w:ascii="Times New Roman" w:hAnsi="Times New Roman"/>
        </w:rPr>
        <w:t>市场成员准入管理</w:t>
      </w:r>
    </w:p>
    <w:p>
      <w:pPr>
        <w:pStyle w:val="53"/>
        <w:numPr>
          <w:ilvl w:val="0"/>
          <w:numId w:val="5"/>
        </w:numPr>
        <w:spacing w:line="300" w:lineRule="auto"/>
        <w:ind w:firstLineChars="0"/>
        <w:rPr>
          <w:snapToGrid w:val="0"/>
        </w:rPr>
      </w:pPr>
      <w:r>
        <w:rPr>
          <w:snapToGrid w:val="0"/>
        </w:rPr>
        <w:t>支持对政府发布的准入名单进行管理，包括准入名单的人工录入、文件导入，并对准入名单进行审核；</w:t>
      </w:r>
    </w:p>
    <w:p>
      <w:pPr>
        <w:pStyle w:val="53"/>
        <w:numPr>
          <w:ilvl w:val="0"/>
          <w:numId w:val="5"/>
        </w:numPr>
        <w:spacing w:line="300" w:lineRule="auto"/>
        <w:ind w:firstLineChars="0"/>
        <w:rPr>
          <w:snapToGrid w:val="0"/>
        </w:rPr>
      </w:pPr>
      <w:r>
        <w:rPr>
          <w:snapToGrid w:val="0"/>
        </w:rPr>
        <w:t>审核通过后用户可以在</w:t>
      </w:r>
      <w:r>
        <w:rPr>
          <w:rFonts w:hint="eastAsia"/>
          <w:snapToGrid w:val="0"/>
        </w:rPr>
        <w:t>运营</w:t>
      </w:r>
      <w:r>
        <w:rPr>
          <w:snapToGrid w:val="0"/>
        </w:rPr>
        <w:t>系统进行注册并根据准入交易范围参与市场交易；</w:t>
      </w:r>
    </w:p>
    <w:p>
      <w:pPr>
        <w:pStyle w:val="53"/>
        <w:numPr>
          <w:ilvl w:val="0"/>
          <w:numId w:val="5"/>
        </w:numPr>
        <w:spacing w:line="300" w:lineRule="auto"/>
        <w:ind w:firstLineChars="0"/>
        <w:rPr>
          <w:snapToGrid w:val="0"/>
        </w:rPr>
      </w:pPr>
      <w:r>
        <w:rPr>
          <w:snapToGrid w:val="0"/>
        </w:rPr>
        <w:t>如无政府准入名单，支持根据政府发布的准入资格要求，对申请用户进行资格审查，审查通过后可进行用户注册，并参与市场交易。</w:t>
      </w:r>
    </w:p>
    <w:p>
      <w:pPr>
        <w:pStyle w:val="5"/>
        <w:rPr>
          <w:rFonts w:ascii="Times New Roman" w:hAnsi="Times New Roman"/>
        </w:rPr>
      </w:pPr>
      <w:r>
        <w:rPr>
          <w:rFonts w:ascii="Times New Roman" w:hAnsi="Times New Roman"/>
        </w:rPr>
        <w:t>市场成员注册</w:t>
      </w:r>
    </w:p>
    <w:p>
      <w:pPr>
        <w:pStyle w:val="53"/>
        <w:numPr>
          <w:ilvl w:val="0"/>
          <w:numId w:val="6"/>
        </w:numPr>
        <w:spacing w:line="300" w:lineRule="auto"/>
        <w:ind w:firstLineChars="0"/>
        <w:rPr>
          <w:snapToGrid w:val="0"/>
        </w:rPr>
      </w:pPr>
      <w:r>
        <w:rPr>
          <w:snapToGrid w:val="0"/>
        </w:rPr>
        <w:t>支持多类别用户注册功能，</w:t>
      </w:r>
      <w:r>
        <w:rPr>
          <w:rFonts w:hint="eastAsia"/>
          <w:snapToGrid w:val="0"/>
        </w:rPr>
        <w:t>用户类别主要包括</w:t>
      </w:r>
      <w:r>
        <w:rPr>
          <w:szCs w:val="21"/>
        </w:rPr>
        <w:t>电网</w:t>
      </w:r>
      <w:r>
        <w:rPr>
          <w:rFonts w:hint="eastAsia"/>
          <w:szCs w:val="21"/>
        </w:rPr>
        <w:t>运营</w:t>
      </w:r>
      <w:r>
        <w:rPr>
          <w:szCs w:val="21"/>
        </w:rPr>
        <w:t>企业、发电企业、售电</w:t>
      </w:r>
      <w:r>
        <w:rPr>
          <w:rFonts w:hint="eastAsia"/>
          <w:szCs w:val="21"/>
        </w:rPr>
        <w:t>企业</w:t>
      </w:r>
      <w:r>
        <w:rPr>
          <w:szCs w:val="21"/>
        </w:rPr>
        <w:t>、电力用户、独立</w:t>
      </w:r>
      <w:r>
        <w:rPr>
          <w:rFonts w:hint="eastAsia"/>
          <w:szCs w:val="21"/>
        </w:rPr>
        <w:t>的</w:t>
      </w:r>
      <w:r>
        <w:rPr>
          <w:szCs w:val="21"/>
        </w:rPr>
        <w:t>辅助服务提供</w:t>
      </w:r>
      <w:r>
        <w:rPr>
          <w:rFonts w:hint="eastAsia"/>
          <w:szCs w:val="21"/>
        </w:rPr>
        <w:t>商</w:t>
      </w:r>
      <w:r>
        <w:rPr>
          <w:rFonts w:hint="eastAsia"/>
          <w:snapToGrid w:val="0"/>
        </w:rPr>
        <w:t>等。其中，售电公司按是否有配电网运营权分类注册，电力用户按批发用户和零售用户分类注册。；</w:t>
      </w:r>
    </w:p>
    <w:p>
      <w:pPr>
        <w:pStyle w:val="53"/>
        <w:numPr>
          <w:ilvl w:val="0"/>
          <w:numId w:val="6"/>
        </w:numPr>
        <w:spacing w:line="300" w:lineRule="auto"/>
        <w:ind w:firstLineChars="0"/>
        <w:rPr>
          <w:snapToGrid w:val="0"/>
        </w:rPr>
      </w:pPr>
      <w:r>
        <w:rPr>
          <w:snapToGrid w:val="0"/>
        </w:rPr>
        <w:t>市场</w:t>
      </w:r>
      <w:r>
        <w:rPr>
          <w:rFonts w:hint="eastAsia"/>
          <w:snapToGrid w:val="0"/>
        </w:rPr>
        <w:t>成员</w:t>
      </w:r>
      <w:r>
        <w:rPr>
          <w:snapToGrid w:val="0"/>
        </w:rPr>
        <w:t>注册信息至少应包括本单位合同签订的法人、执照、地址等基本信息、股东组成等信息、以及电力设备（如发电企业的发电机组、电力用户的用电设备、电网</w:t>
      </w:r>
      <w:r>
        <w:rPr>
          <w:rFonts w:hint="eastAsia"/>
          <w:snapToGrid w:val="0"/>
        </w:rPr>
        <w:t>运营</w:t>
      </w:r>
      <w:r>
        <w:rPr>
          <w:snapToGrid w:val="0"/>
        </w:rPr>
        <w:t>企业的输电线路）等相关信息，审核通过后注册完毕；</w:t>
      </w:r>
    </w:p>
    <w:p>
      <w:pPr>
        <w:pStyle w:val="53"/>
        <w:numPr>
          <w:ilvl w:val="0"/>
          <w:numId w:val="6"/>
        </w:numPr>
        <w:spacing w:line="300" w:lineRule="auto"/>
        <w:ind w:firstLineChars="0"/>
        <w:rPr>
          <w:snapToGrid w:val="0"/>
        </w:rPr>
      </w:pPr>
      <w:r>
        <w:rPr>
          <w:snapToGrid w:val="0"/>
        </w:rPr>
        <w:t>支持市场</w:t>
      </w:r>
      <w:r>
        <w:rPr>
          <w:rFonts w:hint="eastAsia"/>
          <w:snapToGrid w:val="0"/>
        </w:rPr>
        <w:t>成员</w:t>
      </w:r>
      <w:r>
        <w:rPr>
          <w:snapToGrid w:val="0"/>
        </w:rPr>
        <w:t>注册多个用户，每个用户可对应不同角色；</w:t>
      </w:r>
    </w:p>
    <w:p>
      <w:pPr>
        <w:pStyle w:val="53"/>
        <w:numPr>
          <w:ilvl w:val="0"/>
          <w:numId w:val="6"/>
        </w:numPr>
        <w:spacing w:line="300" w:lineRule="auto"/>
        <w:ind w:firstLineChars="0"/>
        <w:rPr>
          <w:snapToGrid w:val="0"/>
        </w:rPr>
      </w:pPr>
      <w:r>
        <w:rPr>
          <w:snapToGrid w:val="0"/>
        </w:rPr>
        <w:t>用户注册信息应至少包括用户名、密码、单位、手机号、身份证扫描件、用户授权文件、营业执照扫描件等信息。</w:t>
      </w:r>
    </w:p>
    <w:p>
      <w:pPr>
        <w:pStyle w:val="5"/>
        <w:rPr>
          <w:rFonts w:ascii="Times New Roman" w:hAnsi="Times New Roman"/>
        </w:rPr>
      </w:pPr>
      <w:r>
        <w:rPr>
          <w:rFonts w:ascii="Times New Roman" w:hAnsi="Times New Roman"/>
        </w:rPr>
        <w:t>市场成员变更</w:t>
      </w:r>
    </w:p>
    <w:p>
      <w:pPr>
        <w:pStyle w:val="53"/>
        <w:numPr>
          <w:ilvl w:val="0"/>
          <w:numId w:val="7"/>
        </w:numPr>
        <w:spacing w:line="300" w:lineRule="auto"/>
        <w:ind w:firstLineChars="0"/>
        <w:rPr>
          <w:snapToGrid w:val="0"/>
        </w:rPr>
      </w:pPr>
      <w:r>
        <w:rPr>
          <w:snapToGrid w:val="0"/>
        </w:rPr>
        <w:t>支持市场</w:t>
      </w:r>
      <w:r>
        <w:rPr>
          <w:rFonts w:hint="eastAsia"/>
          <w:snapToGrid w:val="0"/>
        </w:rPr>
        <w:t>成员</w:t>
      </w:r>
      <w:r>
        <w:rPr>
          <w:snapToGrid w:val="0"/>
        </w:rPr>
        <w:t>提交信息变更申请，变更申请审核通过后生效；</w:t>
      </w:r>
    </w:p>
    <w:p>
      <w:pPr>
        <w:pStyle w:val="53"/>
        <w:numPr>
          <w:ilvl w:val="0"/>
          <w:numId w:val="7"/>
        </w:numPr>
        <w:spacing w:line="300" w:lineRule="auto"/>
        <w:ind w:firstLineChars="0"/>
        <w:rPr>
          <w:snapToGrid w:val="0"/>
        </w:rPr>
      </w:pPr>
      <w:r>
        <w:rPr>
          <w:snapToGrid w:val="0"/>
        </w:rPr>
        <w:t>支持市场成员企业基本信息变更，变更信息主要包括企业基本信息、用电户信息、发电装机信息、企业股权信息等。</w:t>
      </w:r>
    </w:p>
    <w:p>
      <w:pPr>
        <w:pStyle w:val="5"/>
        <w:rPr>
          <w:rFonts w:ascii="Times New Roman" w:hAnsi="Times New Roman"/>
        </w:rPr>
      </w:pPr>
      <w:r>
        <w:rPr>
          <w:rFonts w:ascii="Times New Roman" w:hAnsi="Times New Roman"/>
        </w:rPr>
        <w:t>市场</w:t>
      </w:r>
      <w:r>
        <w:rPr>
          <w:rFonts w:hint="eastAsia" w:ascii="Times New Roman" w:hAnsi="Times New Roman"/>
        </w:rPr>
        <w:t>成员</w:t>
      </w:r>
      <w:r>
        <w:rPr>
          <w:rFonts w:ascii="Times New Roman" w:hAnsi="Times New Roman"/>
        </w:rPr>
        <w:t>退市</w:t>
      </w:r>
    </w:p>
    <w:p>
      <w:pPr>
        <w:pStyle w:val="53"/>
        <w:numPr>
          <w:ilvl w:val="0"/>
          <w:numId w:val="8"/>
        </w:numPr>
        <w:spacing w:line="300" w:lineRule="auto"/>
        <w:ind w:firstLineChars="0"/>
        <w:rPr>
          <w:snapToGrid w:val="0"/>
        </w:rPr>
      </w:pPr>
      <w:r>
        <w:rPr>
          <w:snapToGrid w:val="0"/>
        </w:rPr>
        <w:t>支持市场</w:t>
      </w:r>
      <w:r>
        <w:rPr>
          <w:rFonts w:hint="eastAsia"/>
          <w:snapToGrid w:val="0"/>
        </w:rPr>
        <w:t>成员</w:t>
      </w:r>
      <w:r>
        <w:rPr>
          <w:snapToGrid w:val="0"/>
        </w:rPr>
        <w:t>提交退出市场申请，退市申请审核通过后生效；</w:t>
      </w:r>
    </w:p>
    <w:p>
      <w:pPr>
        <w:pStyle w:val="53"/>
        <w:numPr>
          <w:ilvl w:val="0"/>
          <w:numId w:val="8"/>
        </w:numPr>
        <w:spacing w:line="300" w:lineRule="auto"/>
        <w:ind w:firstLineChars="0"/>
        <w:rPr>
          <w:snapToGrid w:val="0"/>
        </w:rPr>
      </w:pPr>
      <w:r>
        <w:rPr>
          <w:snapToGrid w:val="0"/>
        </w:rPr>
        <w:t>市场成员退市后，支持对市场成员运行状态修改，退役状态市场成员不得参与市场交易，但其相关基本信息和交易数据保留。</w:t>
      </w:r>
    </w:p>
    <w:p>
      <w:pPr>
        <w:pStyle w:val="5"/>
        <w:rPr>
          <w:rFonts w:ascii="Times New Roman" w:hAnsi="Times New Roman"/>
        </w:rPr>
      </w:pPr>
      <w:r>
        <w:rPr>
          <w:rFonts w:ascii="Times New Roman" w:hAnsi="Times New Roman"/>
        </w:rPr>
        <w:t>交易单元管理</w:t>
      </w:r>
    </w:p>
    <w:p>
      <w:pPr>
        <w:pStyle w:val="53"/>
        <w:numPr>
          <w:ilvl w:val="0"/>
          <w:numId w:val="9"/>
        </w:numPr>
        <w:spacing w:line="300" w:lineRule="auto"/>
        <w:ind w:firstLineChars="0"/>
        <w:rPr>
          <w:snapToGrid w:val="0"/>
        </w:rPr>
      </w:pPr>
      <w:r>
        <w:rPr>
          <w:snapToGrid w:val="0"/>
        </w:rPr>
        <w:t>支持将发电企业下的一定数量机组、电力用户下的一些用电设备（已通过系统审核准入的）、售电</w:t>
      </w:r>
      <w:r>
        <w:rPr>
          <w:rFonts w:hint="eastAsia"/>
          <w:snapToGrid w:val="0"/>
        </w:rPr>
        <w:t>企业</w:t>
      </w:r>
      <w:r>
        <w:rPr>
          <w:snapToGrid w:val="0"/>
        </w:rPr>
        <w:t>下的一类电力用户按一定规则（电压等级相同、所属地调相同等）及用户意愿在系统中拆分或绑定成一个业务单元，视为单个电力市场主体参与市场化交易，进行交易数据申报和结算；</w:t>
      </w:r>
    </w:p>
    <w:p>
      <w:pPr>
        <w:pStyle w:val="53"/>
        <w:numPr>
          <w:ilvl w:val="0"/>
          <w:numId w:val="9"/>
        </w:numPr>
        <w:spacing w:line="300" w:lineRule="auto"/>
        <w:ind w:firstLineChars="0"/>
        <w:rPr>
          <w:snapToGrid w:val="0"/>
        </w:rPr>
      </w:pPr>
      <w:r>
        <w:rPr>
          <w:snapToGrid w:val="0"/>
        </w:rPr>
        <w:t>业务单元可按市场主体类别不同分别进行分类，如发电单元类、用电单元类等。</w:t>
      </w:r>
    </w:p>
    <w:p>
      <w:pPr>
        <w:pStyle w:val="5"/>
        <w:rPr>
          <w:rFonts w:ascii="Times New Roman" w:hAnsi="Times New Roman"/>
        </w:rPr>
      </w:pPr>
      <w:r>
        <w:rPr>
          <w:rFonts w:ascii="Times New Roman" w:hAnsi="Times New Roman"/>
        </w:rPr>
        <w:t>市场审核</w:t>
      </w:r>
    </w:p>
    <w:p>
      <w:pPr>
        <w:pStyle w:val="53"/>
        <w:numPr>
          <w:ilvl w:val="0"/>
          <w:numId w:val="10"/>
        </w:numPr>
        <w:spacing w:line="300" w:lineRule="auto"/>
        <w:ind w:left="845" w:firstLineChars="0"/>
        <w:rPr>
          <w:snapToGrid w:val="0"/>
        </w:rPr>
      </w:pPr>
      <w:r>
        <w:rPr>
          <w:snapToGrid w:val="0"/>
        </w:rPr>
        <w:t>支持对市场成员发起的注册信息、变更信息、退役信息进行审核，审核通过后生效；</w:t>
      </w:r>
    </w:p>
    <w:p>
      <w:pPr>
        <w:pStyle w:val="53"/>
        <w:numPr>
          <w:ilvl w:val="0"/>
          <w:numId w:val="10"/>
        </w:numPr>
        <w:spacing w:line="300" w:lineRule="auto"/>
        <w:ind w:left="845" w:firstLineChars="0"/>
        <w:rPr>
          <w:snapToGrid w:val="0"/>
        </w:rPr>
      </w:pPr>
      <w:r>
        <w:rPr>
          <w:snapToGrid w:val="0"/>
        </w:rPr>
        <w:t>支持多级审核，审核流程可定制。</w:t>
      </w:r>
    </w:p>
    <w:p>
      <w:pPr>
        <w:pStyle w:val="4"/>
      </w:pPr>
      <w:bookmarkStart w:id="95" w:name="_Toc511389186"/>
      <w:r>
        <w:t>界面要求</w:t>
      </w:r>
      <w:bookmarkEnd w:id="95"/>
    </w:p>
    <w:p>
      <w:pPr>
        <w:pStyle w:val="53"/>
        <w:numPr>
          <w:ilvl w:val="0"/>
          <w:numId w:val="11"/>
        </w:numPr>
        <w:spacing w:line="300" w:lineRule="auto"/>
        <w:ind w:firstLineChars="0"/>
        <w:rPr>
          <w:snapToGrid w:val="0"/>
        </w:rPr>
      </w:pPr>
      <w:r>
        <w:rPr>
          <w:snapToGrid w:val="0"/>
        </w:rPr>
        <w:t>支持准入名单的便捷录入或文本导入，支持对准入名单进行合规性校验；</w:t>
      </w:r>
    </w:p>
    <w:p>
      <w:pPr>
        <w:pStyle w:val="53"/>
        <w:numPr>
          <w:ilvl w:val="0"/>
          <w:numId w:val="11"/>
        </w:numPr>
        <w:spacing w:line="300" w:lineRule="auto"/>
        <w:ind w:firstLineChars="0"/>
        <w:rPr>
          <w:snapToGrid w:val="0"/>
        </w:rPr>
      </w:pPr>
      <w:r>
        <w:rPr>
          <w:snapToGrid w:val="0"/>
        </w:rPr>
        <w:t>支持按照准入资格对准入申请材料进行自动审核；</w:t>
      </w:r>
    </w:p>
    <w:p>
      <w:pPr>
        <w:pStyle w:val="53"/>
        <w:numPr>
          <w:ilvl w:val="0"/>
          <w:numId w:val="11"/>
        </w:numPr>
        <w:spacing w:line="300" w:lineRule="auto"/>
        <w:ind w:firstLineChars="0"/>
        <w:rPr>
          <w:snapToGrid w:val="0"/>
        </w:rPr>
      </w:pPr>
      <w:r>
        <w:rPr>
          <w:snapToGrid w:val="0"/>
        </w:rPr>
        <w:t>支持按照待办事项方式集中展示注册、变更、退役等申请材料；</w:t>
      </w:r>
    </w:p>
    <w:p>
      <w:pPr>
        <w:pStyle w:val="53"/>
        <w:numPr>
          <w:ilvl w:val="0"/>
          <w:numId w:val="11"/>
        </w:numPr>
        <w:spacing w:line="300" w:lineRule="auto"/>
        <w:ind w:firstLineChars="0"/>
        <w:rPr>
          <w:snapToGrid w:val="0"/>
        </w:rPr>
      </w:pPr>
      <w:r>
        <w:rPr>
          <w:snapToGrid w:val="0"/>
        </w:rPr>
        <w:t>支持对准入用户按照用电量、所属地区、企业类型等信息进行统计分析；</w:t>
      </w:r>
    </w:p>
    <w:p>
      <w:pPr>
        <w:pStyle w:val="53"/>
        <w:numPr>
          <w:ilvl w:val="0"/>
          <w:numId w:val="11"/>
        </w:numPr>
        <w:spacing w:line="300" w:lineRule="auto"/>
        <w:ind w:firstLineChars="0"/>
        <w:rPr>
          <w:snapToGrid w:val="0"/>
        </w:rPr>
      </w:pPr>
      <w:r>
        <w:rPr>
          <w:snapToGrid w:val="0"/>
        </w:rPr>
        <w:t>支持对准入用户按照地理图形、柱状图、饼图、数据表格等方式进行统计结果展示；</w:t>
      </w:r>
    </w:p>
    <w:p>
      <w:pPr>
        <w:pStyle w:val="53"/>
        <w:numPr>
          <w:ilvl w:val="0"/>
          <w:numId w:val="11"/>
        </w:numPr>
        <w:spacing w:line="300" w:lineRule="auto"/>
        <w:ind w:firstLineChars="0"/>
        <w:rPr>
          <w:snapToGrid w:val="0"/>
        </w:rPr>
      </w:pPr>
      <w:r>
        <w:rPr>
          <w:snapToGrid w:val="0"/>
        </w:rPr>
        <w:t>支持对市场成员信用评价汇总结果和评价分项结果进行查询。</w:t>
      </w:r>
    </w:p>
    <w:p>
      <w:pPr>
        <w:pStyle w:val="4"/>
      </w:pPr>
      <w:bookmarkStart w:id="96" w:name="_Toc511389187"/>
      <w:r>
        <w:t>接口要求</w:t>
      </w:r>
      <w:bookmarkEnd w:id="96"/>
    </w:p>
    <w:p>
      <w:pPr>
        <w:pStyle w:val="5"/>
        <w:rPr>
          <w:rFonts w:ascii="Times New Roman" w:hAnsi="Times New Roman"/>
        </w:rPr>
      </w:pPr>
      <w:r>
        <w:rPr>
          <w:rFonts w:ascii="Times New Roman" w:hAnsi="Times New Roman"/>
        </w:rPr>
        <w:t>数据输入</w:t>
      </w:r>
    </w:p>
    <w:p>
      <w:pPr>
        <w:spacing w:line="300" w:lineRule="auto"/>
        <w:ind w:firstLine="480"/>
      </w:pPr>
      <w:r>
        <w:rPr>
          <w:szCs w:val="21"/>
        </w:rPr>
        <w:t>从中长期</w:t>
      </w:r>
      <w:r>
        <w:rPr>
          <w:rFonts w:hint="eastAsia"/>
          <w:szCs w:val="21"/>
        </w:rPr>
        <w:t>电力</w:t>
      </w:r>
      <w:r>
        <w:rPr>
          <w:szCs w:val="21"/>
        </w:rPr>
        <w:t>交易平台获取已注册市场成员信息或由用户输入市场成员信息。</w:t>
      </w:r>
    </w:p>
    <w:p>
      <w:pPr>
        <w:pStyle w:val="5"/>
        <w:rPr>
          <w:rFonts w:ascii="Times New Roman" w:hAnsi="Times New Roman"/>
        </w:rPr>
      </w:pPr>
      <w:r>
        <w:rPr>
          <w:rFonts w:ascii="Times New Roman" w:hAnsi="Times New Roman"/>
        </w:rPr>
        <w:t>数据输出</w:t>
      </w:r>
    </w:p>
    <w:p>
      <w:pPr>
        <w:spacing w:line="300" w:lineRule="auto"/>
        <w:ind w:firstLine="480"/>
        <w:rPr>
          <w:szCs w:val="21"/>
        </w:rPr>
      </w:pPr>
      <w:r>
        <w:rPr>
          <w:szCs w:val="21"/>
        </w:rPr>
        <w:t>提供市场成员信息给运营系统其它子系统。</w:t>
      </w:r>
    </w:p>
    <w:p/>
    <w:p>
      <w:pPr>
        <w:pStyle w:val="3"/>
      </w:pPr>
      <w:bookmarkStart w:id="97" w:name="_Toc511389188"/>
      <w:bookmarkStart w:id="98" w:name="_Toc500597438"/>
      <w:r>
        <w:t>数据管理</w:t>
      </w:r>
      <w:bookmarkEnd w:id="97"/>
      <w:bookmarkEnd w:id="98"/>
    </w:p>
    <w:p>
      <w:pPr>
        <w:spacing w:line="300" w:lineRule="auto"/>
        <w:ind w:firstLine="480"/>
      </w:pPr>
      <w:r>
        <w:t>业务数据管理功能主要用于对运营系统各类外部接入或申报数据进行集中管理与维护，为后续市场出清计算提供数据，并对外部数据接入状态进行</w:t>
      </w:r>
      <w:r>
        <w:rPr>
          <w:rFonts w:hint="eastAsia"/>
        </w:rPr>
        <w:t>监测</w:t>
      </w:r>
      <w:r>
        <w:t>，对各类外部数据进行查询与管理。</w:t>
      </w:r>
    </w:p>
    <w:p>
      <w:pPr>
        <w:spacing w:line="300" w:lineRule="auto"/>
        <w:ind w:firstLine="480"/>
      </w:pPr>
      <w:r>
        <w:t>数据可分为市场配置参数、技术参数及基础数据三类。其中市场配置参数包括市场基本参数、安全校核参数、优化计算参数、约束参数等，技术参数包括机组各种物理运行参数与经济运行参数，基础数据包括系统负荷预测、母线负荷预测、检修计划等各类从内外部系统接入的数据。</w:t>
      </w:r>
    </w:p>
    <w:p>
      <w:pPr>
        <w:pStyle w:val="4"/>
      </w:pPr>
      <w:bookmarkStart w:id="99" w:name="_Toc511389189"/>
      <w:r>
        <w:t>功能要求</w:t>
      </w:r>
      <w:bookmarkEnd w:id="99"/>
    </w:p>
    <w:p>
      <w:pPr>
        <w:pStyle w:val="5"/>
        <w:rPr>
          <w:rFonts w:ascii="Times New Roman" w:hAnsi="Times New Roman"/>
        </w:rPr>
      </w:pPr>
      <w:r>
        <w:rPr>
          <w:rFonts w:ascii="Times New Roman" w:hAnsi="Times New Roman"/>
        </w:rPr>
        <w:t>数据接入</w:t>
      </w:r>
      <w:r>
        <w:rPr>
          <w:rFonts w:hint="eastAsia" w:ascii="Times New Roman" w:hAnsi="Times New Roman"/>
        </w:rPr>
        <w:t>监测</w:t>
      </w:r>
    </w:p>
    <w:p>
      <w:pPr>
        <w:pStyle w:val="53"/>
        <w:numPr>
          <w:ilvl w:val="0"/>
          <w:numId w:val="12"/>
        </w:numPr>
        <w:spacing w:line="300" w:lineRule="auto"/>
        <w:ind w:firstLineChars="0"/>
      </w:pPr>
      <w:r>
        <w:t>支持对外部数据接入时间、状态等信息</w:t>
      </w:r>
      <w:r>
        <w:rPr>
          <w:rFonts w:hint="eastAsia"/>
        </w:rPr>
        <w:t>监测</w:t>
      </w:r>
      <w:r>
        <w:t>；</w:t>
      </w:r>
    </w:p>
    <w:p>
      <w:pPr>
        <w:pStyle w:val="53"/>
        <w:numPr>
          <w:ilvl w:val="0"/>
          <w:numId w:val="12"/>
        </w:numPr>
        <w:spacing w:line="300" w:lineRule="auto"/>
        <w:ind w:firstLineChars="0"/>
      </w:pPr>
      <w:r>
        <w:t>支持基于可配置的数据校验规则对外部数据进行校验；</w:t>
      </w:r>
    </w:p>
    <w:p>
      <w:pPr>
        <w:pStyle w:val="53"/>
        <w:numPr>
          <w:ilvl w:val="0"/>
          <w:numId w:val="12"/>
        </w:numPr>
        <w:spacing w:line="300" w:lineRule="auto"/>
        <w:ind w:firstLineChars="0"/>
      </w:pPr>
      <w:r>
        <w:t>支持对不同类型数据的数据校验状态与详细校验日志的查询；</w:t>
      </w:r>
    </w:p>
    <w:p>
      <w:pPr>
        <w:pStyle w:val="53"/>
        <w:numPr>
          <w:ilvl w:val="0"/>
          <w:numId w:val="12"/>
        </w:numPr>
        <w:spacing w:line="300" w:lineRule="auto"/>
        <w:ind w:firstLineChars="0"/>
      </w:pPr>
      <w:r>
        <w:t>支持</w:t>
      </w:r>
      <w:r>
        <w:rPr>
          <w:rFonts w:hint="eastAsia"/>
        </w:rPr>
        <w:t>监测</w:t>
      </w:r>
      <w:r>
        <w:t>数据类型的灵活添加和删除。</w:t>
      </w:r>
    </w:p>
    <w:p>
      <w:pPr>
        <w:pStyle w:val="5"/>
        <w:rPr>
          <w:rFonts w:ascii="Times New Roman" w:hAnsi="Times New Roman"/>
        </w:rPr>
      </w:pPr>
      <w:r>
        <w:rPr>
          <w:rFonts w:ascii="Times New Roman" w:hAnsi="Times New Roman"/>
        </w:rPr>
        <w:t>市场配置参数管理</w:t>
      </w:r>
    </w:p>
    <w:p>
      <w:pPr>
        <w:spacing w:line="300" w:lineRule="auto"/>
        <w:ind w:firstLine="480" w:firstLineChars="200"/>
      </w:pPr>
      <w:r>
        <w:t>市场参数管理用于管理现货市场各项配置参数，设定现货市场运行基础环境：</w:t>
      </w:r>
    </w:p>
    <w:p>
      <w:pPr>
        <w:pStyle w:val="53"/>
        <w:numPr>
          <w:ilvl w:val="0"/>
          <w:numId w:val="13"/>
        </w:numPr>
        <w:spacing w:line="300" w:lineRule="auto"/>
        <w:ind w:firstLineChars="0"/>
      </w:pPr>
      <w:r>
        <w:t>支持对日前市场、日内市场、平衡机制等配置参数进行管理、配置；</w:t>
      </w:r>
    </w:p>
    <w:p>
      <w:pPr>
        <w:pStyle w:val="53"/>
        <w:numPr>
          <w:ilvl w:val="0"/>
          <w:numId w:val="13"/>
        </w:numPr>
        <w:spacing w:line="300" w:lineRule="auto"/>
        <w:ind w:firstLineChars="0"/>
      </w:pPr>
      <w:r>
        <w:t>支持根据参数用途进行分类管理，参数类别至少包括基本参数、安全校核参数、优化计算参数、约束设置参数等；</w:t>
      </w:r>
    </w:p>
    <w:p>
      <w:pPr>
        <w:pStyle w:val="53"/>
        <w:numPr>
          <w:ilvl w:val="0"/>
          <w:numId w:val="13"/>
        </w:numPr>
        <w:spacing w:line="300" w:lineRule="auto"/>
        <w:ind w:firstLineChars="0"/>
      </w:pPr>
      <w:r>
        <w:t>支持市场参数的查询、新增、删除、修改等操作；</w:t>
      </w:r>
    </w:p>
    <w:p>
      <w:pPr>
        <w:pStyle w:val="53"/>
        <w:numPr>
          <w:ilvl w:val="0"/>
          <w:numId w:val="13"/>
        </w:numPr>
        <w:spacing w:line="300" w:lineRule="auto"/>
        <w:ind w:firstLineChars="0"/>
      </w:pPr>
      <w:r>
        <w:t>支持文件方式的参数导入、导出功能。</w:t>
      </w:r>
    </w:p>
    <w:p>
      <w:pPr>
        <w:pStyle w:val="5"/>
        <w:rPr>
          <w:rFonts w:ascii="Times New Roman" w:hAnsi="Times New Roman"/>
        </w:rPr>
      </w:pPr>
      <w:r>
        <w:rPr>
          <w:rFonts w:ascii="Times New Roman" w:hAnsi="Times New Roman"/>
        </w:rPr>
        <w:t>技术参数管理</w:t>
      </w:r>
    </w:p>
    <w:p>
      <w:pPr>
        <w:spacing w:line="300" w:lineRule="auto"/>
        <w:ind w:firstLine="480"/>
      </w:pPr>
      <w:r>
        <w:t>支持现货市场计算和运行相关的设备技术参数管理功能，主要包括如下：</w:t>
      </w:r>
    </w:p>
    <w:p>
      <w:pPr>
        <w:pStyle w:val="53"/>
        <w:numPr>
          <w:ilvl w:val="0"/>
          <w:numId w:val="14"/>
        </w:numPr>
        <w:spacing w:line="300" w:lineRule="auto"/>
        <w:ind w:firstLineChars="0"/>
      </w:pPr>
      <w:r>
        <w:t>支持现货市场计算和运行相关的技术参数申报功能，包括机组类型、额定容量、最大技术出力、最小技术出力、最小开停机时间、爬坡速率、温热冷启动时间、电压等级、节点位置、环保参数、厂用电率、震动区、启停磨、是否参与市场竞争等机组技术参数和电厂、机组群约束信息；</w:t>
      </w:r>
    </w:p>
    <w:p>
      <w:pPr>
        <w:pStyle w:val="53"/>
        <w:numPr>
          <w:ilvl w:val="0"/>
          <w:numId w:val="14"/>
        </w:numPr>
        <w:spacing w:line="300" w:lineRule="auto"/>
        <w:ind w:firstLineChars="0"/>
      </w:pPr>
      <w:r>
        <w:t>支持对申报设备技术参数进行验证和审批功能；</w:t>
      </w:r>
    </w:p>
    <w:p>
      <w:pPr>
        <w:pStyle w:val="53"/>
        <w:numPr>
          <w:ilvl w:val="0"/>
          <w:numId w:val="14"/>
        </w:numPr>
        <w:spacing w:line="300" w:lineRule="auto"/>
        <w:ind w:firstLineChars="0"/>
      </w:pPr>
      <w:r>
        <w:t>支持对申报设备技术参数进行查询和维护功能。</w:t>
      </w:r>
    </w:p>
    <w:p>
      <w:pPr>
        <w:pStyle w:val="5"/>
        <w:rPr>
          <w:rFonts w:ascii="Times New Roman" w:hAnsi="Times New Roman"/>
        </w:rPr>
      </w:pPr>
      <w:r>
        <w:rPr>
          <w:rFonts w:ascii="Times New Roman" w:hAnsi="Times New Roman"/>
        </w:rPr>
        <w:t>基础数据管理</w:t>
      </w:r>
    </w:p>
    <w:p>
      <w:pPr>
        <w:pStyle w:val="53"/>
        <w:numPr>
          <w:ilvl w:val="0"/>
          <w:numId w:val="15"/>
        </w:numPr>
        <w:spacing w:line="300" w:lineRule="auto"/>
        <w:ind w:firstLineChars="0"/>
      </w:pPr>
      <w:r>
        <w:t>机组运行信息</w:t>
      </w:r>
    </w:p>
    <w:p>
      <w:pPr>
        <w:spacing w:line="300" w:lineRule="auto"/>
        <w:ind w:firstLine="480"/>
      </w:pPr>
      <w:r>
        <w:t>支持对机组计划及信息查询与维护，主要包括：</w:t>
      </w:r>
    </w:p>
    <w:p>
      <w:pPr>
        <w:pStyle w:val="53"/>
        <w:numPr>
          <w:ilvl w:val="0"/>
          <w:numId w:val="16"/>
        </w:numPr>
        <w:spacing w:line="300" w:lineRule="auto"/>
        <w:ind w:firstLineChars="0"/>
      </w:pPr>
      <w:r>
        <w:t>机组固定出力信息；</w:t>
      </w:r>
    </w:p>
    <w:p>
      <w:pPr>
        <w:pStyle w:val="53"/>
        <w:numPr>
          <w:ilvl w:val="0"/>
          <w:numId w:val="16"/>
        </w:numPr>
        <w:spacing w:line="300" w:lineRule="auto"/>
        <w:ind w:firstLineChars="0"/>
      </w:pPr>
      <w:r>
        <w:t>机组自调度计划、供热机组供热流量、机组日发电量计划、机组出力限额、机组最早并网时间；</w:t>
      </w:r>
    </w:p>
    <w:p>
      <w:pPr>
        <w:pStyle w:val="53"/>
        <w:numPr>
          <w:ilvl w:val="0"/>
          <w:numId w:val="16"/>
        </w:numPr>
        <w:spacing w:line="300" w:lineRule="auto"/>
        <w:ind w:firstLineChars="0"/>
      </w:pPr>
      <w:r>
        <w:t>机组必开必停信息设置，支持设置必开、必停及参与优化调整机组；</w:t>
      </w:r>
    </w:p>
    <w:p>
      <w:pPr>
        <w:pStyle w:val="53"/>
        <w:numPr>
          <w:ilvl w:val="0"/>
          <w:numId w:val="16"/>
        </w:numPr>
        <w:spacing w:line="300" w:lineRule="auto"/>
        <w:ind w:firstLineChars="0"/>
      </w:pPr>
      <w:r>
        <w:t>机组状态信息，包括机组当前启停状态、当前状态持续时间及次日是否可以启停。</w:t>
      </w:r>
    </w:p>
    <w:p>
      <w:pPr>
        <w:pStyle w:val="53"/>
        <w:numPr>
          <w:ilvl w:val="0"/>
          <w:numId w:val="15"/>
        </w:numPr>
        <w:spacing w:line="300" w:lineRule="auto"/>
        <w:ind w:firstLineChars="0"/>
      </w:pPr>
      <w:r>
        <w:t>负荷预测</w:t>
      </w:r>
    </w:p>
    <w:p>
      <w:pPr>
        <w:spacing w:line="300" w:lineRule="auto"/>
        <w:ind w:firstLine="480"/>
      </w:pPr>
      <w:r>
        <w:t>支持对系统负荷预测、母线负荷预测数据查询与维护，主要包括：</w:t>
      </w:r>
    </w:p>
    <w:p>
      <w:pPr>
        <w:pStyle w:val="53"/>
        <w:numPr>
          <w:ilvl w:val="0"/>
          <w:numId w:val="16"/>
        </w:numPr>
        <w:spacing w:line="300" w:lineRule="auto"/>
        <w:ind w:firstLineChars="0"/>
      </w:pPr>
      <w:r>
        <w:t>短期、超短期系统负荷预测；</w:t>
      </w:r>
    </w:p>
    <w:p>
      <w:pPr>
        <w:pStyle w:val="53"/>
        <w:numPr>
          <w:ilvl w:val="0"/>
          <w:numId w:val="16"/>
        </w:numPr>
        <w:spacing w:line="300" w:lineRule="auto"/>
        <w:ind w:firstLineChars="0"/>
      </w:pPr>
      <w:r>
        <w:t>短期、超短期母线负荷预测；</w:t>
      </w:r>
    </w:p>
    <w:p>
      <w:pPr>
        <w:tabs>
          <w:tab w:val="left" w:pos="3261"/>
        </w:tabs>
        <w:spacing w:line="300" w:lineRule="auto"/>
        <w:ind w:firstLine="480"/>
      </w:pPr>
      <w:r>
        <w:t>支持对联络线功率查询与维护，主要包括：</w:t>
      </w:r>
    </w:p>
    <w:p>
      <w:pPr>
        <w:pStyle w:val="53"/>
        <w:numPr>
          <w:ilvl w:val="0"/>
          <w:numId w:val="16"/>
        </w:numPr>
        <w:spacing w:line="300" w:lineRule="auto"/>
        <w:ind w:firstLineChars="0"/>
      </w:pPr>
      <w:r>
        <w:t>联络线口子计划；</w:t>
      </w:r>
    </w:p>
    <w:p>
      <w:pPr>
        <w:pStyle w:val="53"/>
        <w:numPr>
          <w:ilvl w:val="0"/>
          <w:numId w:val="16"/>
        </w:numPr>
        <w:spacing w:line="300" w:lineRule="auto"/>
        <w:ind w:firstLineChars="0"/>
      </w:pPr>
      <w:r>
        <w:t>联络线详细计划。</w:t>
      </w:r>
    </w:p>
    <w:p>
      <w:pPr>
        <w:pStyle w:val="53"/>
        <w:numPr>
          <w:ilvl w:val="0"/>
          <w:numId w:val="15"/>
        </w:numPr>
        <w:spacing w:line="300" w:lineRule="auto"/>
        <w:ind w:firstLineChars="0"/>
      </w:pPr>
      <w:r>
        <w:t>检修计划</w:t>
      </w:r>
    </w:p>
    <w:p>
      <w:pPr>
        <w:spacing w:line="300" w:lineRule="auto"/>
        <w:ind w:firstLine="480"/>
      </w:pPr>
      <w:r>
        <w:t>具备对检修计划和检修记录查询与维护，主要包括：</w:t>
      </w:r>
    </w:p>
    <w:p>
      <w:pPr>
        <w:pStyle w:val="53"/>
        <w:numPr>
          <w:ilvl w:val="0"/>
          <w:numId w:val="16"/>
        </w:numPr>
        <w:spacing w:line="300" w:lineRule="auto"/>
        <w:ind w:firstLineChars="0"/>
      </w:pPr>
      <w:r>
        <w:t>输变电设备检修计划和实际检修记录；</w:t>
      </w:r>
    </w:p>
    <w:p>
      <w:pPr>
        <w:pStyle w:val="53"/>
        <w:numPr>
          <w:ilvl w:val="0"/>
          <w:numId w:val="16"/>
        </w:numPr>
        <w:spacing w:line="300" w:lineRule="auto"/>
        <w:ind w:firstLineChars="0"/>
      </w:pPr>
      <w:r>
        <w:t>机组检修计划和实际检修记录。</w:t>
      </w:r>
    </w:p>
    <w:p>
      <w:pPr>
        <w:pStyle w:val="53"/>
        <w:numPr>
          <w:ilvl w:val="0"/>
          <w:numId w:val="15"/>
        </w:numPr>
        <w:spacing w:line="300" w:lineRule="auto"/>
        <w:ind w:firstLineChars="0"/>
      </w:pPr>
      <w:r>
        <w:t>市场报价</w:t>
      </w:r>
    </w:p>
    <w:p>
      <w:pPr>
        <w:spacing w:line="300" w:lineRule="auto"/>
        <w:ind w:firstLine="480" w:firstLineChars="200"/>
      </w:pPr>
      <w:r>
        <w:t>支持市场报价查询与管理，主要包括：</w:t>
      </w:r>
    </w:p>
    <w:p>
      <w:pPr>
        <w:pStyle w:val="53"/>
        <w:numPr>
          <w:ilvl w:val="0"/>
          <w:numId w:val="16"/>
        </w:numPr>
        <w:spacing w:line="300" w:lineRule="auto"/>
        <w:ind w:firstLineChars="0"/>
      </w:pPr>
      <w:r>
        <w:t>各参与市场主体的日前市场报价数据；</w:t>
      </w:r>
    </w:p>
    <w:p>
      <w:pPr>
        <w:pStyle w:val="53"/>
        <w:numPr>
          <w:ilvl w:val="0"/>
          <w:numId w:val="16"/>
        </w:numPr>
        <w:spacing w:line="300" w:lineRule="auto"/>
        <w:ind w:firstLineChars="0"/>
      </w:pPr>
      <w:r>
        <w:t>各参与市场主体的日内市场报价数据；</w:t>
      </w:r>
    </w:p>
    <w:p>
      <w:pPr>
        <w:pStyle w:val="53"/>
        <w:numPr>
          <w:ilvl w:val="0"/>
          <w:numId w:val="16"/>
        </w:numPr>
        <w:spacing w:line="300" w:lineRule="auto"/>
        <w:ind w:firstLineChars="0"/>
      </w:pPr>
      <w:r>
        <w:t>各参与市场主体的平衡机制报价数据。</w:t>
      </w:r>
    </w:p>
    <w:p>
      <w:pPr>
        <w:pStyle w:val="53"/>
        <w:numPr>
          <w:ilvl w:val="0"/>
          <w:numId w:val="15"/>
        </w:numPr>
        <w:spacing w:line="300" w:lineRule="auto"/>
        <w:ind w:firstLineChars="0"/>
      </w:pPr>
      <w:r>
        <w:t>其它</w:t>
      </w:r>
    </w:p>
    <w:p>
      <w:pPr>
        <w:pStyle w:val="53"/>
        <w:numPr>
          <w:ilvl w:val="0"/>
          <w:numId w:val="16"/>
        </w:numPr>
        <w:spacing w:line="300" w:lineRule="auto"/>
        <w:ind w:firstLineChars="0"/>
      </w:pPr>
      <w:r>
        <w:t>支持对系统备用信息查询与维护；</w:t>
      </w:r>
    </w:p>
    <w:p>
      <w:pPr>
        <w:pStyle w:val="53"/>
        <w:numPr>
          <w:ilvl w:val="0"/>
          <w:numId w:val="16"/>
        </w:numPr>
        <w:spacing w:line="300" w:lineRule="auto"/>
        <w:ind w:firstLineChars="0"/>
      </w:pPr>
      <w:r>
        <w:t>提供基于文件的数据导入、导出功能。</w:t>
      </w:r>
    </w:p>
    <w:p>
      <w:pPr>
        <w:pStyle w:val="4"/>
      </w:pPr>
      <w:bookmarkStart w:id="100" w:name="_Toc511389190"/>
      <w:r>
        <w:t>界面要求</w:t>
      </w:r>
      <w:bookmarkEnd w:id="100"/>
    </w:p>
    <w:p>
      <w:pPr>
        <w:pStyle w:val="53"/>
        <w:numPr>
          <w:ilvl w:val="0"/>
          <w:numId w:val="17"/>
        </w:numPr>
        <w:spacing w:line="300" w:lineRule="auto"/>
        <w:ind w:firstLineChars="0"/>
      </w:pPr>
      <w:r>
        <w:t>支持基于曲线、表格等多种方式数据展示；</w:t>
      </w:r>
    </w:p>
    <w:p>
      <w:pPr>
        <w:pStyle w:val="53"/>
        <w:numPr>
          <w:ilvl w:val="0"/>
          <w:numId w:val="17"/>
        </w:numPr>
        <w:spacing w:line="300" w:lineRule="auto"/>
        <w:ind w:firstLineChars="0"/>
      </w:pPr>
      <w:r>
        <w:t>具备数据批量修改界面。</w:t>
      </w:r>
    </w:p>
    <w:p>
      <w:pPr>
        <w:pStyle w:val="4"/>
      </w:pPr>
      <w:bookmarkStart w:id="101" w:name="_Toc511389191"/>
      <w:r>
        <w:t>接口要求</w:t>
      </w:r>
      <w:bookmarkEnd w:id="101"/>
    </w:p>
    <w:p>
      <w:pPr>
        <w:pStyle w:val="5"/>
        <w:rPr>
          <w:rFonts w:ascii="Times New Roman" w:hAnsi="Times New Roman"/>
        </w:rPr>
      </w:pPr>
      <w:r>
        <w:rPr>
          <w:rFonts w:ascii="Times New Roman" w:hAnsi="Times New Roman"/>
        </w:rPr>
        <w:t>数据输入</w:t>
      </w:r>
    </w:p>
    <w:p>
      <w:pPr>
        <w:spacing w:line="300" w:lineRule="auto"/>
        <w:ind w:firstLine="480"/>
      </w:pPr>
      <w:r>
        <w:t>从能量管理系统（Energy Management System，EMS）、运行管理系统（Operation Management System，OMS）等外部系统接入相关数据。</w:t>
      </w:r>
    </w:p>
    <w:p>
      <w:pPr>
        <w:pStyle w:val="5"/>
        <w:rPr>
          <w:rFonts w:ascii="Times New Roman" w:hAnsi="Times New Roman"/>
        </w:rPr>
      </w:pPr>
      <w:r>
        <w:rPr>
          <w:rFonts w:ascii="Times New Roman" w:hAnsi="Times New Roman"/>
        </w:rPr>
        <w:t>数据输出</w:t>
      </w:r>
    </w:p>
    <w:p>
      <w:pPr>
        <w:spacing w:line="300" w:lineRule="auto"/>
        <w:ind w:firstLine="480"/>
      </w:pPr>
      <w:r>
        <w:t>向运营系统其它子系统输出维护后各类数据，用于后续计算。</w:t>
      </w:r>
    </w:p>
    <w:p/>
    <w:p>
      <w:pPr>
        <w:pStyle w:val="3"/>
      </w:pPr>
      <w:bookmarkStart w:id="102" w:name="_Toc500597439"/>
      <w:bookmarkStart w:id="103" w:name="_Toc511389192"/>
      <w:r>
        <w:t>市场申报</w:t>
      </w:r>
      <w:bookmarkEnd w:id="102"/>
      <w:bookmarkEnd w:id="103"/>
    </w:p>
    <w:p>
      <w:pPr>
        <w:spacing w:line="300" w:lineRule="auto"/>
        <w:ind w:firstLine="480"/>
      </w:pPr>
      <w:r>
        <w:t>用于各类市场成员进行数据申报并对接收的申报数据进行验证与处理。</w:t>
      </w:r>
    </w:p>
    <w:p>
      <w:pPr>
        <w:pStyle w:val="4"/>
      </w:pPr>
      <w:bookmarkStart w:id="104" w:name="_Toc511389193"/>
      <w:r>
        <w:t>功能要求</w:t>
      </w:r>
      <w:bookmarkEnd w:id="104"/>
    </w:p>
    <w:p>
      <w:pPr>
        <w:pStyle w:val="53"/>
        <w:numPr>
          <w:ilvl w:val="0"/>
          <w:numId w:val="18"/>
        </w:numPr>
        <w:spacing w:line="300" w:lineRule="auto"/>
        <w:ind w:firstLineChars="0"/>
      </w:pPr>
      <w:r>
        <w:t>支持交易申报，包括机组日前市场空载运行费用、温态启动费用、冷态启动费用、热态启动费用、最大最小经济出力、最大日启动次数、日最小运行时间、分段电力价格、最大最小技术出力、爬坡速率，以及用电侧负荷报价分段曲线或用电量申报；</w:t>
      </w:r>
    </w:p>
    <w:p>
      <w:pPr>
        <w:pStyle w:val="53"/>
        <w:numPr>
          <w:ilvl w:val="0"/>
          <w:numId w:val="18"/>
        </w:numPr>
        <w:spacing w:line="300" w:lineRule="auto"/>
        <w:ind w:firstLineChars="0"/>
      </w:pPr>
      <w:r>
        <w:t>支持日内市场</w:t>
      </w:r>
      <w:r>
        <w:rPr>
          <w:rFonts w:hint="eastAsia"/>
        </w:rPr>
        <w:t>、</w:t>
      </w:r>
      <w:r>
        <w:t>平衡机制临时出力限额申报，包括临时最低出力、最高出力及时间段；</w:t>
      </w:r>
    </w:p>
    <w:p>
      <w:pPr>
        <w:pStyle w:val="53"/>
        <w:numPr>
          <w:ilvl w:val="0"/>
          <w:numId w:val="18"/>
        </w:numPr>
        <w:spacing w:line="300" w:lineRule="auto"/>
        <w:ind w:firstLineChars="0"/>
      </w:pPr>
      <w:r>
        <w:t>支持缺省机组交易数据申报；</w:t>
      </w:r>
    </w:p>
    <w:p>
      <w:pPr>
        <w:pStyle w:val="53"/>
        <w:numPr>
          <w:ilvl w:val="0"/>
          <w:numId w:val="18"/>
        </w:numPr>
        <w:spacing w:line="300" w:lineRule="auto"/>
        <w:ind w:firstLineChars="0"/>
      </w:pPr>
      <w:r>
        <w:t>支持缺省用电交易数据申报；</w:t>
      </w:r>
    </w:p>
    <w:p>
      <w:pPr>
        <w:pStyle w:val="53"/>
        <w:numPr>
          <w:ilvl w:val="0"/>
          <w:numId w:val="18"/>
        </w:numPr>
        <w:spacing w:line="300" w:lineRule="auto"/>
        <w:ind w:firstLineChars="0"/>
      </w:pPr>
      <w:r>
        <w:t>支持对辅助服务市场交易申报；</w:t>
      </w:r>
    </w:p>
    <w:p>
      <w:pPr>
        <w:pStyle w:val="53"/>
        <w:numPr>
          <w:ilvl w:val="0"/>
          <w:numId w:val="18"/>
        </w:numPr>
        <w:spacing w:line="300" w:lineRule="auto"/>
        <w:ind w:firstLineChars="0"/>
      </w:pPr>
      <w:r>
        <w:t>支持对市场申报信息进行</w:t>
      </w:r>
      <w:r>
        <w:rPr>
          <w:rFonts w:hint="eastAsia"/>
        </w:rPr>
        <w:t>监测</w:t>
      </w:r>
      <w:r>
        <w:t>和审批操作，审批通过后通过消息提醒方式通知申报方；</w:t>
      </w:r>
    </w:p>
    <w:p>
      <w:pPr>
        <w:pStyle w:val="53"/>
        <w:numPr>
          <w:ilvl w:val="0"/>
          <w:numId w:val="18"/>
        </w:numPr>
        <w:spacing w:line="300" w:lineRule="auto"/>
        <w:ind w:firstLineChars="0"/>
      </w:pPr>
      <w:r>
        <w:t>支持根据申报数据类别进行申报数据输入校验；</w:t>
      </w:r>
    </w:p>
    <w:p>
      <w:pPr>
        <w:pStyle w:val="53"/>
        <w:numPr>
          <w:ilvl w:val="0"/>
          <w:numId w:val="18"/>
        </w:numPr>
        <w:spacing w:line="300" w:lineRule="auto"/>
        <w:ind w:firstLineChars="0"/>
      </w:pPr>
      <w:r>
        <w:t>支持申报数据导入、导出操作；</w:t>
      </w:r>
    </w:p>
    <w:p>
      <w:pPr>
        <w:pStyle w:val="53"/>
        <w:numPr>
          <w:ilvl w:val="0"/>
          <w:numId w:val="18"/>
        </w:numPr>
        <w:spacing w:line="300" w:lineRule="auto"/>
        <w:ind w:firstLineChars="0"/>
      </w:pPr>
      <w:r>
        <w:t>支持</w:t>
      </w:r>
      <w:r>
        <w:rPr>
          <w:rFonts w:hint="eastAsia"/>
        </w:rPr>
        <w:t>对</w:t>
      </w:r>
      <w:r>
        <w:t>所有私有申报数据在数据传输</w:t>
      </w:r>
      <w:r>
        <w:rPr>
          <w:rFonts w:hint="eastAsia"/>
        </w:rPr>
        <w:t>和</w:t>
      </w:r>
      <w:r>
        <w:t>数据存储</w:t>
      </w:r>
      <w:r>
        <w:rPr>
          <w:rFonts w:hint="eastAsia"/>
        </w:rPr>
        <w:t>过程</w:t>
      </w:r>
      <w:r>
        <w:t>中采用加密算法进行加密。</w:t>
      </w:r>
    </w:p>
    <w:p>
      <w:pPr>
        <w:pStyle w:val="4"/>
      </w:pPr>
      <w:bookmarkStart w:id="105" w:name="_Toc511389194"/>
      <w:r>
        <w:t>界面要求</w:t>
      </w:r>
      <w:bookmarkEnd w:id="105"/>
    </w:p>
    <w:p>
      <w:pPr>
        <w:pStyle w:val="53"/>
        <w:numPr>
          <w:ilvl w:val="0"/>
          <w:numId w:val="19"/>
        </w:numPr>
        <w:spacing w:line="300" w:lineRule="auto"/>
        <w:ind w:firstLineChars="0"/>
      </w:pPr>
      <w:r>
        <w:t>支持选择日期查询历史申报数据；</w:t>
      </w:r>
    </w:p>
    <w:p>
      <w:pPr>
        <w:pStyle w:val="53"/>
        <w:numPr>
          <w:ilvl w:val="0"/>
          <w:numId w:val="19"/>
        </w:numPr>
        <w:spacing w:line="300" w:lineRule="auto"/>
        <w:ind w:firstLineChars="0"/>
      </w:pPr>
      <w:r>
        <w:t>支持表格、曲线、棒图、饼图等多种形式的市场申报信息展示；</w:t>
      </w:r>
    </w:p>
    <w:p>
      <w:pPr>
        <w:pStyle w:val="53"/>
        <w:numPr>
          <w:ilvl w:val="0"/>
          <w:numId w:val="19"/>
        </w:numPr>
        <w:spacing w:line="300" w:lineRule="auto"/>
        <w:ind w:firstLineChars="0"/>
      </w:pPr>
      <w:r>
        <w:t>支持显示各市场成员未申报、已申报、审批通过、审批未通过等申报数据状态；</w:t>
      </w:r>
    </w:p>
    <w:p>
      <w:pPr>
        <w:pStyle w:val="53"/>
        <w:numPr>
          <w:ilvl w:val="0"/>
          <w:numId w:val="19"/>
        </w:numPr>
        <w:spacing w:line="300" w:lineRule="auto"/>
        <w:ind w:firstLineChars="0"/>
      </w:pPr>
      <w:r>
        <w:t>支持审批未通过信息以消息框等方式通知申报方；</w:t>
      </w:r>
    </w:p>
    <w:p>
      <w:pPr>
        <w:pStyle w:val="53"/>
        <w:numPr>
          <w:ilvl w:val="0"/>
          <w:numId w:val="19"/>
        </w:numPr>
        <w:spacing w:line="300" w:lineRule="auto"/>
        <w:ind w:firstLineChars="0"/>
      </w:pPr>
      <w:r>
        <w:t>支持对申报异常数据进行提醒。</w:t>
      </w:r>
    </w:p>
    <w:p>
      <w:pPr>
        <w:pStyle w:val="4"/>
      </w:pPr>
      <w:bookmarkStart w:id="106" w:name="_Toc511389195"/>
      <w:r>
        <w:t>接口要求</w:t>
      </w:r>
      <w:bookmarkEnd w:id="106"/>
    </w:p>
    <w:p>
      <w:pPr>
        <w:pStyle w:val="5"/>
        <w:rPr>
          <w:rFonts w:ascii="Times New Roman" w:hAnsi="Times New Roman"/>
        </w:rPr>
      </w:pPr>
      <w:r>
        <w:rPr>
          <w:rFonts w:ascii="Times New Roman" w:hAnsi="Times New Roman"/>
        </w:rPr>
        <w:t>数据输入</w:t>
      </w:r>
    </w:p>
    <w:p>
      <w:pPr>
        <w:spacing w:line="300" w:lineRule="auto"/>
        <w:ind w:firstLine="480"/>
      </w:pPr>
      <w:r>
        <w:rPr>
          <w:szCs w:val="21"/>
        </w:rPr>
        <w:t>支持从市场成员管理子系统中读取市场模型注册信息。</w:t>
      </w:r>
    </w:p>
    <w:p>
      <w:pPr>
        <w:pStyle w:val="5"/>
        <w:rPr>
          <w:rFonts w:ascii="Times New Roman" w:hAnsi="Times New Roman"/>
        </w:rPr>
      </w:pPr>
      <w:r>
        <w:rPr>
          <w:rFonts w:ascii="Times New Roman" w:hAnsi="Times New Roman"/>
        </w:rPr>
        <w:t>数据输出</w:t>
      </w:r>
    </w:p>
    <w:p>
      <w:pPr>
        <w:pStyle w:val="53"/>
        <w:numPr>
          <w:ilvl w:val="0"/>
          <w:numId w:val="20"/>
        </w:numPr>
        <w:spacing w:line="300" w:lineRule="auto"/>
        <w:ind w:firstLineChars="0"/>
      </w:pPr>
      <w:r>
        <w:t>向</w:t>
      </w:r>
      <w:r>
        <w:rPr>
          <w:szCs w:val="21"/>
        </w:rPr>
        <w:t>运营系统其它子系统</w:t>
      </w:r>
      <w:r>
        <w:t xml:space="preserve">提供交易申报数据； </w:t>
      </w:r>
    </w:p>
    <w:p>
      <w:pPr>
        <w:pStyle w:val="53"/>
        <w:numPr>
          <w:ilvl w:val="0"/>
          <w:numId w:val="20"/>
        </w:numPr>
        <w:spacing w:line="300" w:lineRule="auto"/>
        <w:ind w:firstLineChars="0"/>
      </w:pPr>
      <w:r>
        <w:t>向</w:t>
      </w:r>
      <w:r>
        <w:rPr>
          <w:szCs w:val="21"/>
        </w:rPr>
        <w:t>运营系统其它子系统</w:t>
      </w:r>
      <w:r>
        <w:t>提供市场成员运行信息、技术参数等数据。</w:t>
      </w:r>
    </w:p>
    <w:p>
      <w:pPr>
        <w:spacing w:line="300" w:lineRule="auto"/>
        <w:ind w:firstLine="480"/>
      </w:pPr>
    </w:p>
    <w:p>
      <w:pPr>
        <w:pStyle w:val="3"/>
      </w:pPr>
      <w:bookmarkStart w:id="107" w:name="_Toc500597440"/>
      <w:bookmarkStart w:id="108" w:name="_Toc511389196"/>
      <w:r>
        <w:t>信息发布</w:t>
      </w:r>
      <w:bookmarkEnd w:id="107"/>
      <w:bookmarkEnd w:id="108"/>
    </w:p>
    <w:p>
      <w:pPr>
        <w:spacing w:line="300" w:lineRule="auto"/>
        <w:ind w:firstLine="480"/>
      </w:pPr>
      <w:r>
        <w:t>按照市场规则中信息披露原则，向各类</w:t>
      </w:r>
      <w:r>
        <w:rPr>
          <w:rFonts w:hint="eastAsia"/>
        </w:rPr>
        <w:t>市场成员</w:t>
      </w:r>
      <w:r>
        <w:t>、政府主管部门、电力监管部门等发布当前及未来一段时间内电网运行、市场运营、市场监管等信息。运营系统保障各类市场</w:t>
      </w:r>
      <w:r>
        <w:rPr>
          <w:rFonts w:hint="eastAsia"/>
        </w:rPr>
        <w:t>成员</w:t>
      </w:r>
      <w:r>
        <w:t>无歧视</w:t>
      </w:r>
      <w:r>
        <w:rPr>
          <w:rFonts w:hint="eastAsia"/>
        </w:rPr>
        <w:t>地</w:t>
      </w:r>
      <w:r>
        <w:t>获得参与市场的必需信息。</w:t>
      </w:r>
    </w:p>
    <w:p>
      <w:pPr>
        <w:pStyle w:val="4"/>
      </w:pPr>
      <w:bookmarkStart w:id="109" w:name="_Toc511389197"/>
      <w:r>
        <w:t>功能要求</w:t>
      </w:r>
      <w:bookmarkEnd w:id="109"/>
    </w:p>
    <w:p>
      <w:pPr>
        <w:pStyle w:val="53"/>
        <w:numPr>
          <w:ilvl w:val="0"/>
          <w:numId w:val="21"/>
        </w:numPr>
        <w:spacing w:line="300" w:lineRule="auto"/>
        <w:ind w:firstLineChars="0"/>
      </w:pPr>
      <w:r>
        <w:t>支持市场预测信息发布，包括短期、超短期系统负荷预测、新能源预测等信息发布；</w:t>
      </w:r>
    </w:p>
    <w:p>
      <w:pPr>
        <w:pStyle w:val="53"/>
        <w:numPr>
          <w:ilvl w:val="0"/>
          <w:numId w:val="21"/>
        </w:numPr>
        <w:spacing w:line="300" w:lineRule="auto"/>
        <w:ind w:firstLineChars="0"/>
      </w:pPr>
      <w:r>
        <w:t>支持检修计划信息发布，包括不同周期的输变电设备、机组的检修计划信息发布；</w:t>
      </w:r>
    </w:p>
    <w:p>
      <w:pPr>
        <w:pStyle w:val="53"/>
        <w:numPr>
          <w:ilvl w:val="0"/>
          <w:numId w:val="21"/>
        </w:numPr>
        <w:spacing w:line="300" w:lineRule="auto"/>
        <w:ind w:firstLineChars="0"/>
      </w:pPr>
      <w:r>
        <w:t>支持联络线计划信息发布，包括不同周期的联络线</w:t>
      </w:r>
      <w:r>
        <w:rPr>
          <w:rFonts w:hint="eastAsia"/>
        </w:rPr>
        <w:t>口</w:t>
      </w:r>
      <w:r>
        <w:t>子计划及详细联络线计划信息发布；支持电网运行信息发布，包括实际系统负荷、联络线功率、实际检修容量、负荷功率、系统备用等信息发布；</w:t>
      </w:r>
    </w:p>
    <w:p>
      <w:pPr>
        <w:pStyle w:val="53"/>
        <w:numPr>
          <w:ilvl w:val="0"/>
          <w:numId w:val="21"/>
        </w:numPr>
        <w:spacing w:line="300" w:lineRule="auto"/>
        <w:ind w:firstLineChars="0"/>
      </w:pPr>
      <w:r>
        <w:t>支持电网安全约束信息发布，包括设备限额、稳定断面限额等信息；</w:t>
      </w:r>
    </w:p>
    <w:p>
      <w:pPr>
        <w:pStyle w:val="53"/>
        <w:numPr>
          <w:ilvl w:val="0"/>
          <w:numId w:val="21"/>
        </w:numPr>
        <w:spacing w:line="300" w:lineRule="auto"/>
        <w:ind w:firstLineChars="0"/>
      </w:pPr>
      <w:r>
        <w:t>支持中长期交易合同及计划信息发布，包括年度、月度基数合同</w:t>
      </w:r>
      <w:r>
        <w:rPr>
          <w:rFonts w:hint="eastAsia"/>
        </w:rPr>
        <w:t>，</w:t>
      </w:r>
      <w:r>
        <w:t>双边协商合同</w:t>
      </w:r>
      <w:r>
        <w:rPr>
          <w:rFonts w:hint="eastAsia"/>
        </w:rPr>
        <w:t>，</w:t>
      </w:r>
      <w:r>
        <w:t>集中竞价合同信息发布及年度、月度计划信息发布；</w:t>
      </w:r>
    </w:p>
    <w:p>
      <w:pPr>
        <w:pStyle w:val="53"/>
        <w:numPr>
          <w:ilvl w:val="0"/>
          <w:numId w:val="21"/>
        </w:numPr>
        <w:spacing w:line="300" w:lineRule="auto"/>
        <w:ind w:firstLineChars="0"/>
      </w:pPr>
      <w:r>
        <w:t>支持市场运营信息发布，包括现货市场（日前市场、日内市场、平衡机制</w:t>
      </w:r>
      <w:r>
        <w:rPr>
          <w:rFonts w:hint="eastAsia"/>
        </w:rPr>
        <w:t>、</w:t>
      </w:r>
      <w:r>
        <w:t>辅助服务市场）的出清结果、校核结果、结算结果信息发布；</w:t>
      </w:r>
    </w:p>
    <w:p>
      <w:pPr>
        <w:pStyle w:val="53"/>
        <w:numPr>
          <w:ilvl w:val="0"/>
          <w:numId w:val="21"/>
        </w:numPr>
        <w:spacing w:line="300" w:lineRule="auto"/>
        <w:ind w:firstLineChars="0"/>
      </w:pPr>
      <w:r>
        <w:t>支持市场监管信息发布，定期发布市场各类统计平均指标及市场违规信息；</w:t>
      </w:r>
    </w:p>
    <w:p>
      <w:pPr>
        <w:pStyle w:val="53"/>
        <w:numPr>
          <w:ilvl w:val="0"/>
          <w:numId w:val="21"/>
        </w:numPr>
        <w:spacing w:line="300" w:lineRule="auto"/>
        <w:ind w:firstLineChars="0"/>
      </w:pPr>
      <w:r>
        <w:t>向市场运营机构提供市场公告信息发布与管理，支持市场成员查看市场公告信息；</w:t>
      </w:r>
    </w:p>
    <w:p>
      <w:pPr>
        <w:pStyle w:val="53"/>
        <w:numPr>
          <w:ilvl w:val="0"/>
          <w:numId w:val="21"/>
        </w:numPr>
        <w:spacing w:line="300" w:lineRule="auto"/>
        <w:ind w:firstLineChars="0"/>
      </w:pPr>
      <w:r>
        <w:t>支持单独向电力监管部门发布其它依据规则需要发布的信息。</w:t>
      </w:r>
    </w:p>
    <w:p>
      <w:pPr>
        <w:pStyle w:val="4"/>
      </w:pPr>
      <w:bookmarkStart w:id="110" w:name="_Toc511389198"/>
      <w:r>
        <w:t>界面要求</w:t>
      </w:r>
      <w:bookmarkEnd w:id="110"/>
    </w:p>
    <w:p>
      <w:pPr>
        <w:pStyle w:val="53"/>
        <w:numPr>
          <w:ilvl w:val="0"/>
          <w:numId w:val="22"/>
        </w:numPr>
        <w:spacing w:line="300" w:lineRule="auto"/>
        <w:ind w:firstLineChars="0"/>
      </w:pPr>
      <w:r>
        <w:t>支持按照市场</w:t>
      </w:r>
      <w:r>
        <w:rPr>
          <w:rFonts w:hint="eastAsia"/>
        </w:rPr>
        <w:t>成员</w:t>
      </w:r>
      <w:r>
        <w:t>及日期进行分类查询；</w:t>
      </w:r>
    </w:p>
    <w:p>
      <w:pPr>
        <w:pStyle w:val="53"/>
        <w:numPr>
          <w:ilvl w:val="0"/>
          <w:numId w:val="22"/>
        </w:numPr>
        <w:spacing w:line="300" w:lineRule="auto"/>
        <w:ind w:firstLineChars="0"/>
      </w:pPr>
      <w:r>
        <w:t>支持表格、曲线、棒图、饼图等多种形</w:t>
      </w:r>
      <w:r>
        <w:rPr>
          <w:rFonts w:hint="eastAsia"/>
        </w:rPr>
        <w:t>式</w:t>
      </w:r>
      <w:r>
        <w:t>的市场发布信息展示；</w:t>
      </w:r>
    </w:p>
    <w:p>
      <w:pPr>
        <w:pStyle w:val="53"/>
        <w:numPr>
          <w:ilvl w:val="0"/>
          <w:numId w:val="22"/>
        </w:numPr>
        <w:spacing w:line="300" w:lineRule="auto"/>
        <w:ind w:firstLineChars="0"/>
      </w:pPr>
      <w:r>
        <w:t>支持市场发布信息下载、导出、打印功能。</w:t>
      </w:r>
    </w:p>
    <w:p>
      <w:pPr>
        <w:pStyle w:val="4"/>
      </w:pPr>
      <w:bookmarkStart w:id="111" w:name="_Toc511389199"/>
      <w:r>
        <w:t>接口要求</w:t>
      </w:r>
      <w:bookmarkEnd w:id="111"/>
    </w:p>
    <w:p>
      <w:pPr>
        <w:spacing w:line="300" w:lineRule="auto"/>
        <w:ind w:firstLine="480"/>
      </w:pPr>
      <w:r>
        <w:t>支持从运营系统数据库中读取需要对外发布的各类信息。</w:t>
      </w:r>
    </w:p>
    <w:p/>
    <w:p>
      <w:pPr>
        <w:pStyle w:val="3"/>
      </w:pPr>
      <w:bookmarkStart w:id="112" w:name="_Toc511389200"/>
      <w:r>
        <w:t>中长期合同管理</w:t>
      </w:r>
      <w:bookmarkEnd w:id="112"/>
    </w:p>
    <w:p>
      <w:pPr>
        <w:spacing w:line="300" w:lineRule="auto"/>
        <w:ind w:firstLine="480"/>
      </w:pPr>
      <w:r>
        <w:t>交易双方在中长期</w:t>
      </w:r>
      <w:r>
        <w:rPr>
          <w:rFonts w:hint="eastAsia"/>
        </w:rPr>
        <w:t>电力</w:t>
      </w:r>
      <w:r>
        <w:t>市场签订中长期实物合同，在分散式电力现货市场中由交易双方分解或由市场运营机构代为分解日交易曲线，参与现货市场。中长期合同管理子系统接收与管理市场</w:t>
      </w:r>
      <w:r>
        <w:rPr>
          <w:rFonts w:hint="eastAsia"/>
        </w:rPr>
        <w:t>主体</w:t>
      </w:r>
      <w:r>
        <w:t>自行分解并提交的日交易曲线，并提供中长期实物合同的分解与管理等功能。</w:t>
      </w:r>
    </w:p>
    <w:p>
      <w:pPr>
        <w:pStyle w:val="4"/>
      </w:pPr>
      <w:bookmarkStart w:id="113" w:name="_Toc511389201"/>
      <w:r>
        <w:t>功能要求</w:t>
      </w:r>
      <w:bookmarkEnd w:id="113"/>
    </w:p>
    <w:p>
      <w:pPr>
        <w:pStyle w:val="5"/>
        <w:rPr>
          <w:rFonts w:ascii="Times New Roman" w:hAnsi="Times New Roman"/>
        </w:rPr>
      </w:pPr>
      <w:r>
        <w:rPr>
          <w:rFonts w:ascii="Times New Roman" w:hAnsi="Times New Roman"/>
        </w:rPr>
        <w:t>实物合同管理</w:t>
      </w:r>
    </w:p>
    <w:p>
      <w:pPr>
        <w:pStyle w:val="53"/>
        <w:numPr>
          <w:ilvl w:val="0"/>
          <w:numId w:val="23"/>
        </w:numPr>
        <w:spacing w:line="300" w:lineRule="auto"/>
        <w:ind w:firstLineChars="0"/>
      </w:pPr>
      <w:r>
        <w:t>支持对实物合同的分类管理，包括电力直接交易、跨省跨区交易（含省外框架协议电）和优先发电合同交易等。</w:t>
      </w:r>
    </w:p>
    <w:p>
      <w:pPr>
        <w:pStyle w:val="53"/>
        <w:numPr>
          <w:ilvl w:val="0"/>
          <w:numId w:val="23"/>
        </w:numPr>
        <w:spacing w:line="300" w:lineRule="auto"/>
        <w:ind w:firstLineChars="0"/>
      </w:pPr>
      <w:r>
        <w:t>支持从中长期</w:t>
      </w:r>
      <w:r>
        <w:rPr>
          <w:rFonts w:hint="eastAsia"/>
        </w:rPr>
        <w:t>电力</w:t>
      </w:r>
      <w:r>
        <w:t>交易平台通过接口等方式，按需定期获取实物合同内容，包括年度、月度、短期购售电合同。</w:t>
      </w:r>
    </w:p>
    <w:p>
      <w:pPr>
        <w:pStyle w:val="5"/>
        <w:rPr>
          <w:rFonts w:ascii="Times New Roman" w:hAnsi="Times New Roman"/>
        </w:rPr>
      </w:pPr>
      <w:r>
        <w:rPr>
          <w:rFonts w:ascii="Times New Roman" w:hAnsi="Times New Roman"/>
        </w:rPr>
        <w:t>实物合同分解</w:t>
      </w:r>
    </w:p>
    <w:p>
      <w:pPr>
        <w:pStyle w:val="53"/>
        <w:numPr>
          <w:ilvl w:val="0"/>
          <w:numId w:val="24"/>
        </w:numPr>
        <w:spacing w:line="300" w:lineRule="auto"/>
        <w:ind w:firstLineChars="0"/>
      </w:pPr>
      <w:r>
        <w:t>支持接收实物合同交易双方自行分解并提交的日交易曲线并按规则校验；</w:t>
      </w:r>
    </w:p>
    <w:p>
      <w:pPr>
        <w:pStyle w:val="53"/>
        <w:numPr>
          <w:ilvl w:val="0"/>
          <w:numId w:val="24"/>
        </w:numPr>
        <w:spacing w:line="300" w:lineRule="auto"/>
        <w:ind w:firstLineChars="0"/>
      </w:pPr>
      <w:r>
        <w:t>支持根据合同内容自动或人工将实物合同分解为日交易曲线；</w:t>
      </w:r>
    </w:p>
    <w:p>
      <w:pPr>
        <w:pStyle w:val="53"/>
        <w:numPr>
          <w:ilvl w:val="0"/>
          <w:numId w:val="24"/>
        </w:numPr>
        <w:spacing w:line="300" w:lineRule="auto"/>
        <w:ind w:firstLineChars="0"/>
      </w:pPr>
      <w:r>
        <w:t>合同自动分解可以按预设的分解规则自动分解已导入的实物合同并按负荷预测、检修计划及合同完成率等进行自动调节；</w:t>
      </w:r>
    </w:p>
    <w:p>
      <w:pPr>
        <w:pStyle w:val="53"/>
        <w:numPr>
          <w:ilvl w:val="0"/>
          <w:numId w:val="24"/>
        </w:numPr>
        <w:spacing w:line="300" w:lineRule="auto"/>
        <w:ind w:firstLineChars="0"/>
      </w:pPr>
      <w:r>
        <w:t>自动分解的日交易曲线可以由市场操作员进行人工调整。</w:t>
      </w:r>
    </w:p>
    <w:p>
      <w:pPr>
        <w:pStyle w:val="4"/>
      </w:pPr>
      <w:bookmarkStart w:id="114" w:name="_Toc511389202"/>
      <w:r>
        <w:t>界面要求</w:t>
      </w:r>
      <w:bookmarkEnd w:id="114"/>
    </w:p>
    <w:p>
      <w:pPr>
        <w:pStyle w:val="53"/>
        <w:numPr>
          <w:ilvl w:val="0"/>
          <w:numId w:val="25"/>
        </w:numPr>
        <w:spacing w:line="300" w:lineRule="auto"/>
        <w:ind w:firstLineChars="0"/>
      </w:pPr>
      <w:r>
        <w:t>支持对实物合同交易双方的日交易曲线进行查询；</w:t>
      </w:r>
    </w:p>
    <w:p>
      <w:pPr>
        <w:pStyle w:val="53"/>
        <w:numPr>
          <w:ilvl w:val="0"/>
          <w:numId w:val="25"/>
        </w:numPr>
        <w:spacing w:line="300" w:lineRule="auto"/>
        <w:ind w:firstLineChars="0"/>
      </w:pPr>
      <w:r>
        <w:t>支持列表显示实物合同的交易方、交易量、注入节点和流出节点等信息；</w:t>
      </w:r>
    </w:p>
    <w:p>
      <w:pPr>
        <w:pStyle w:val="53"/>
        <w:numPr>
          <w:ilvl w:val="0"/>
          <w:numId w:val="25"/>
        </w:numPr>
        <w:spacing w:line="300" w:lineRule="auto"/>
        <w:ind w:firstLineChars="0"/>
      </w:pPr>
      <w:r>
        <w:t>支持按照购售电方、合同类型、时间等多条件的交易合同信息综合查询；</w:t>
      </w:r>
    </w:p>
    <w:p>
      <w:pPr>
        <w:pStyle w:val="53"/>
        <w:numPr>
          <w:ilvl w:val="0"/>
          <w:numId w:val="25"/>
        </w:numPr>
        <w:spacing w:line="300" w:lineRule="auto"/>
        <w:ind w:firstLineChars="0"/>
      </w:pPr>
      <w:r>
        <w:t>支持交易合同执行进度查询；</w:t>
      </w:r>
    </w:p>
    <w:p>
      <w:pPr>
        <w:pStyle w:val="53"/>
        <w:numPr>
          <w:ilvl w:val="0"/>
          <w:numId w:val="25"/>
        </w:numPr>
        <w:spacing w:line="300" w:lineRule="auto"/>
        <w:ind w:firstLineChars="0"/>
      </w:pPr>
      <w:r>
        <w:t>支持交易合同信息人工录入、修改及导入等操作。</w:t>
      </w:r>
    </w:p>
    <w:p>
      <w:pPr>
        <w:pStyle w:val="4"/>
      </w:pPr>
      <w:bookmarkStart w:id="115" w:name="_Toc511389203"/>
      <w:r>
        <w:t>接口要求</w:t>
      </w:r>
      <w:bookmarkEnd w:id="115"/>
    </w:p>
    <w:p>
      <w:pPr>
        <w:pStyle w:val="5"/>
        <w:rPr>
          <w:rFonts w:ascii="Times New Roman" w:hAnsi="Times New Roman"/>
        </w:rPr>
      </w:pPr>
      <w:r>
        <w:rPr>
          <w:rFonts w:ascii="Times New Roman" w:hAnsi="Times New Roman"/>
        </w:rPr>
        <w:t>数据输入</w:t>
      </w:r>
    </w:p>
    <w:p>
      <w:pPr>
        <w:pStyle w:val="53"/>
        <w:numPr>
          <w:ilvl w:val="0"/>
          <w:numId w:val="26"/>
        </w:numPr>
        <w:spacing w:line="300" w:lineRule="auto"/>
        <w:ind w:firstLineChars="0"/>
      </w:pPr>
      <w:r>
        <w:t>来自市场</w:t>
      </w:r>
      <w:r>
        <w:rPr>
          <w:rFonts w:hint="eastAsia"/>
        </w:rPr>
        <w:t>主体</w:t>
      </w:r>
      <w:r>
        <w:t>的日交易曲线；</w:t>
      </w:r>
    </w:p>
    <w:p>
      <w:pPr>
        <w:pStyle w:val="53"/>
        <w:numPr>
          <w:ilvl w:val="0"/>
          <w:numId w:val="26"/>
        </w:numPr>
        <w:spacing w:line="300" w:lineRule="auto"/>
        <w:ind w:firstLineChars="0"/>
      </w:pPr>
      <w:r>
        <w:t>来自中长期</w:t>
      </w:r>
      <w:r>
        <w:rPr>
          <w:rFonts w:hint="eastAsia"/>
        </w:rPr>
        <w:t>电力交易</w:t>
      </w:r>
      <w:r>
        <w:t>平台的中长期计划及合同信息。</w:t>
      </w:r>
    </w:p>
    <w:p>
      <w:pPr>
        <w:pStyle w:val="5"/>
        <w:rPr>
          <w:rFonts w:ascii="Times New Roman" w:hAnsi="Times New Roman"/>
        </w:rPr>
      </w:pPr>
      <w:r>
        <w:rPr>
          <w:rFonts w:ascii="Times New Roman" w:hAnsi="Times New Roman"/>
        </w:rPr>
        <w:t>数据输出</w:t>
      </w:r>
    </w:p>
    <w:p>
      <w:pPr>
        <w:spacing w:line="300" w:lineRule="auto"/>
        <w:ind w:firstLine="480"/>
      </w:pPr>
      <w:r>
        <w:rPr>
          <w:rFonts w:hint="eastAsia"/>
        </w:rPr>
        <w:t>向</w:t>
      </w:r>
      <w:r>
        <w:t>运营系统其它子系统提供市场</w:t>
      </w:r>
      <w:r>
        <w:rPr>
          <w:rFonts w:hint="eastAsia"/>
        </w:rPr>
        <w:t>主体</w:t>
      </w:r>
      <w:r>
        <w:t>提交的日交易曲线</w:t>
      </w:r>
      <w:r>
        <w:rPr>
          <w:rFonts w:hint="eastAsia"/>
        </w:rPr>
        <w:t>和</w:t>
      </w:r>
      <w:r>
        <w:t>中长期实物合同日分解曲线。</w:t>
      </w:r>
    </w:p>
    <w:p/>
    <w:p>
      <w:pPr>
        <w:pStyle w:val="3"/>
      </w:pPr>
      <w:bookmarkStart w:id="116" w:name="_Toc500597443"/>
      <w:bookmarkStart w:id="117" w:name="_Toc511389204"/>
      <w:r>
        <w:t>日前市场</w:t>
      </w:r>
      <w:bookmarkEnd w:id="116"/>
      <w:bookmarkEnd w:id="117"/>
    </w:p>
    <w:p>
      <w:pPr>
        <w:spacing w:line="300" w:lineRule="auto"/>
        <w:ind w:firstLine="480"/>
      </w:pPr>
      <w:r>
        <w:t>日前市场交易根据市场</w:t>
      </w:r>
      <w:r>
        <w:rPr>
          <w:rFonts w:hint="eastAsia"/>
        </w:rPr>
        <w:t>主体</w:t>
      </w:r>
      <w:r>
        <w:t>提交的日交易曲线、中长期实物合同日分解曲线、市场</w:t>
      </w:r>
      <w:r>
        <w:rPr>
          <w:rFonts w:hint="eastAsia"/>
        </w:rPr>
        <w:t>主体</w:t>
      </w:r>
      <w:r>
        <w:t>在日前市场申报的上调/下调报价和机组启停报价，以日交易曲线、中长期实物合同日分解曲线、负荷预测、联络线计划等作为市场边界，考虑电网安全约束、机组运行约束、系统约束及其它可行性约束条件，每天分为若干个交易时段（如24或96个时段），优化出清生成次日组合计划和出力计划，并形成机组与用户市场出清电价。</w:t>
      </w:r>
    </w:p>
    <w:p>
      <w:pPr>
        <w:spacing w:line="300" w:lineRule="auto"/>
        <w:ind w:firstLine="480"/>
      </w:pPr>
      <w:r>
        <w:t>日前市场也可按市场规则采用边际出清模式，不考虑物理约束（或仅考虑区域间约束），不进行安全校核，形成系统边际电价或分区边际电价。</w:t>
      </w:r>
    </w:p>
    <w:p>
      <w:pPr>
        <w:pStyle w:val="4"/>
      </w:pPr>
      <w:bookmarkStart w:id="118" w:name="_Toc511389205"/>
      <w:r>
        <w:t>功能要求</w:t>
      </w:r>
      <w:bookmarkEnd w:id="118"/>
    </w:p>
    <w:p>
      <w:pPr>
        <w:pStyle w:val="5"/>
        <w:rPr>
          <w:rFonts w:ascii="Times New Roman" w:hAnsi="Times New Roman"/>
        </w:rPr>
      </w:pPr>
      <w:r>
        <w:rPr>
          <w:rFonts w:ascii="Times New Roman" w:hAnsi="Times New Roman"/>
        </w:rPr>
        <w:t>约束条件管理</w:t>
      </w:r>
    </w:p>
    <w:p>
      <w:pPr>
        <w:spacing w:line="300" w:lineRule="auto"/>
        <w:ind w:firstLine="480"/>
      </w:pPr>
      <w:r>
        <w:t>满足机组约束</w:t>
      </w:r>
      <w:r>
        <w:rPr>
          <w:rFonts w:hint="eastAsia"/>
        </w:rPr>
        <w:t>、</w:t>
      </w:r>
      <w:r>
        <w:t>系统平衡约束</w:t>
      </w:r>
      <w:r>
        <w:rPr>
          <w:rFonts w:hint="eastAsia"/>
        </w:rPr>
        <w:t>、</w:t>
      </w:r>
      <w:r>
        <w:t>网络约束等约束条件，各约束条件可以灵活进行参数配置和生效设置。</w:t>
      </w:r>
    </w:p>
    <w:p>
      <w:pPr>
        <w:spacing w:line="300" w:lineRule="auto"/>
        <w:ind w:firstLine="480"/>
      </w:pPr>
      <w:r>
        <w:t>机组约束包括但不限于：</w:t>
      </w:r>
    </w:p>
    <w:p>
      <w:pPr>
        <w:pStyle w:val="53"/>
        <w:numPr>
          <w:ilvl w:val="0"/>
          <w:numId w:val="27"/>
        </w:numPr>
        <w:spacing w:line="300" w:lineRule="auto"/>
        <w:ind w:firstLineChars="0"/>
      </w:pPr>
      <w:r>
        <w:t>机组（机组群）可调出力约束，包括机组（机组群）出力上限约束、出力下限约束，支持每个时段设定不同的上下限值；</w:t>
      </w:r>
    </w:p>
    <w:p>
      <w:pPr>
        <w:pStyle w:val="53"/>
        <w:numPr>
          <w:ilvl w:val="0"/>
          <w:numId w:val="27"/>
        </w:numPr>
        <w:spacing w:line="300" w:lineRule="auto"/>
        <w:ind w:firstLineChars="0"/>
      </w:pPr>
      <w:r>
        <w:t>机组爬坡速率约束，包括机组升出力速率约束和降出力速率约束；</w:t>
      </w:r>
    </w:p>
    <w:p>
      <w:pPr>
        <w:pStyle w:val="53"/>
        <w:numPr>
          <w:ilvl w:val="0"/>
          <w:numId w:val="27"/>
        </w:numPr>
        <w:spacing w:line="300" w:lineRule="auto"/>
        <w:ind w:firstLineChars="0"/>
      </w:pPr>
      <w:r>
        <w:t>机组最小启停时间约束，包括机组最小停机时间和机组最小连续运行时间；</w:t>
      </w:r>
    </w:p>
    <w:p>
      <w:pPr>
        <w:pStyle w:val="53"/>
        <w:numPr>
          <w:ilvl w:val="0"/>
          <w:numId w:val="27"/>
        </w:numPr>
        <w:spacing w:line="300" w:lineRule="auto"/>
        <w:ind w:firstLineChars="0"/>
      </w:pPr>
      <w:r>
        <w:t>机组最大启停次数约束；</w:t>
      </w:r>
    </w:p>
    <w:p>
      <w:pPr>
        <w:pStyle w:val="53"/>
        <w:numPr>
          <w:ilvl w:val="0"/>
          <w:numId w:val="27"/>
        </w:numPr>
        <w:spacing w:line="300" w:lineRule="auto"/>
        <w:ind w:firstLineChars="0"/>
      </w:pPr>
      <w:r>
        <w:t>机组启停出力曲线约束，包括机组开机过程曲线和停机过程曲线约束；</w:t>
      </w:r>
    </w:p>
    <w:p>
      <w:pPr>
        <w:pStyle w:val="53"/>
        <w:numPr>
          <w:ilvl w:val="0"/>
          <w:numId w:val="27"/>
        </w:numPr>
        <w:spacing w:line="300" w:lineRule="auto"/>
        <w:ind w:firstLineChars="0"/>
      </w:pPr>
      <w:r>
        <w:t>固定计划约束，支持机组和电厂（机组群）固定计划设置；</w:t>
      </w:r>
    </w:p>
    <w:p>
      <w:pPr>
        <w:pStyle w:val="53"/>
        <w:numPr>
          <w:ilvl w:val="0"/>
          <w:numId w:val="27"/>
        </w:numPr>
        <w:spacing w:line="300" w:lineRule="auto"/>
        <w:ind w:firstLineChars="0"/>
      </w:pPr>
      <w:r>
        <w:t>电量约束，支持机组和电厂（机组群）日发电量约束的设置；</w:t>
      </w:r>
    </w:p>
    <w:p>
      <w:pPr>
        <w:pStyle w:val="53"/>
        <w:numPr>
          <w:ilvl w:val="0"/>
          <w:numId w:val="27"/>
        </w:numPr>
        <w:spacing w:line="300" w:lineRule="auto"/>
        <w:ind w:firstLineChars="0"/>
      </w:pPr>
      <w:r>
        <w:t>区域最小开机台数约束，支持分区设置和最小开机台数设置；</w:t>
      </w:r>
    </w:p>
    <w:p>
      <w:pPr>
        <w:pStyle w:val="53"/>
        <w:numPr>
          <w:ilvl w:val="0"/>
          <w:numId w:val="27"/>
        </w:numPr>
        <w:spacing w:line="300" w:lineRule="auto"/>
        <w:ind w:firstLineChars="0"/>
      </w:pPr>
      <w:r>
        <w:t>机组（机组群）备用约束，支持设置机组（机组群）正负旋转备用、AGC备用设置；</w:t>
      </w:r>
    </w:p>
    <w:p>
      <w:pPr>
        <w:pStyle w:val="53"/>
        <w:numPr>
          <w:ilvl w:val="0"/>
          <w:numId w:val="27"/>
        </w:numPr>
        <w:spacing w:line="300" w:lineRule="auto"/>
        <w:ind w:firstLineChars="0"/>
      </w:pPr>
      <w:r>
        <w:t>机组启停磨约束设置，支持设置机组启停磨出力区间；</w:t>
      </w:r>
    </w:p>
    <w:p>
      <w:pPr>
        <w:pStyle w:val="53"/>
        <w:numPr>
          <w:ilvl w:val="0"/>
          <w:numId w:val="27"/>
        </w:numPr>
        <w:spacing w:line="300" w:lineRule="auto"/>
        <w:ind w:firstLineChars="0"/>
      </w:pPr>
      <w:r>
        <w:t>水电机组振动区设置，支持设置水电机组振动区出力区间；</w:t>
      </w:r>
    </w:p>
    <w:p>
      <w:pPr>
        <w:pStyle w:val="53"/>
        <w:numPr>
          <w:ilvl w:val="0"/>
          <w:numId w:val="27"/>
        </w:numPr>
        <w:spacing w:line="300" w:lineRule="auto"/>
        <w:ind w:firstLineChars="0"/>
      </w:pPr>
      <w:r>
        <w:t>环保排放限值约束，支持机组和电厂（机组群）污染物排放约束的设置，污染物类型支持二氧化硫、氮氧化物、烟尘和二氧化碳等。</w:t>
      </w:r>
    </w:p>
    <w:p>
      <w:pPr>
        <w:spacing w:line="300" w:lineRule="auto"/>
        <w:ind w:firstLine="480"/>
      </w:pPr>
      <w:r>
        <w:t>系统平衡约束包括但不限于：</w:t>
      </w:r>
    </w:p>
    <w:p>
      <w:pPr>
        <w:pStyle w:val="53"/>
        <w:numPr>
          <w:ilvl w:val="0"/>
          <w:numId w:val="28"/>
        </w:numPr>
        <w:spacing w:line="300" w:lineRule="auto"/>
        <w:ind w:firstLineChars="0"/>
      </w:pPr>
      <w:r>
        <w:t>功率平衡约束，要求满足系统各个时段用电需求、交换计划和发电计划保持功率平衡；</w:t>
      </w:r>
    </w:p>
    <w:p>
      <w:pPr>
        <w:pStyle w:val="53"/>
        <w:numPr>
          <w:ilvl w:val="0"/>
          <w:numId w:val="28"/>
        </w:numPr>
        <w:spacing w:line="300" w:lineRule="auto"/>
        <w:ind w:firstLineChars="0"/>
      </w:pPr>
      <w:r>
        <w:t>系统备用约束，支持系统备用容量（比例）设定，要求机组组合计划和出力计划满足系统旋转备用和调节备用要求；</w:t>
      </w:r>
    </w:p>
    <w:p>
      <w:pPr>
        <w:pStyle w:val="53"/>
        <w:numPr>
          <w:ilvl w:val="0"/>
          <w:numId w:val="28"/>
        </w:numPr>
        <w:spacing w:line="300" w:lineRule="auto"/>
        <w:ind w:firstLineChars="0"/>
      </w:pPr>
      <w:r>
        <w:t>分区备用约束，支持分区设置和分区备用容量（比例）设定，要求各分区机组组合计划和出力计划满足各分区备用要求；</w:t>
      </w:r>
    </w:p>
    <w:p>
      <w:pPr>
        <w:pStyle w:val="53"/>
        <w:numPr>
          <w:ilvl w:val="0"/>
          <w:numId w:val="28"/>
        </w:numPr>
        <w:spacing w:line="300" w:lineRule="auto"/>
        <w:ind w:firstLineChars="0"/>
      </w:pPr>
      <w:r>
        <w:t>区域必开容量约束，支持分区设置和区域必开容量设定。</w:t>
      </w:r>
    </w:p>
    <w:p>
      <w:pPr>
        <w:spacing w:line="300" w:lineRule="auto"/>
        <w:ind w:left="480"/>
      </w:pPr>
      <w:r>
        <w:t>网络约束包括但不限于：</w:t>
      </w:r>
    </w:p>
    <w:p>
      <w:pPr>
        <w:pStyle w:val="53"/>
        <w:numPr>
          <w:ilvl w:val="0"/>
          <w:numId w:val="29"/>
        </w:numPr>
        <w:spacing w:line="300" w:lineRule="auto"/>
        <w:ind w:firstLineChars="0"/>
      </w:pPr>
      <w:r>
        <w:t>断面限额约束，包括线路断面、主变断面的有功限额；</w:t>
      </w:r>
    </w:p>
    <w:p>
      <w:pPr>
        <w:pStyle w:val="53"/>
        <w:numPr>
          <w:ilvl w:val="0"/>
          <w:numId w:val="29"/>
        </w:numPr>
        <w:spacing w:line="300" w:lineRule="auto"/>
        <w:ind w:firstLineChars="0"/>
      </w:pPr>
      <w:r>
        <w:t>单元件热稳极限约束，包括线路、主变热稳限额；</w:t>
      </w:r>
    </w:p>
    <w:p>
      <w:pPr>
        <w:pStyle w:val="53"/>
        <w:numPr>
          <w:ilvl w:val="0"/>
          <w:numId w:val="29"/>
        </w:numPr>
        <w:spacing w:line="300" w:lineRule="auto"/>
        <w:ind w:firstLineChars="0"/>
      </w:pPr>
      <w:r>
        <w:t>关键输电元件N-1、预想故障集约束等。</w:t>
      </w:r>
    </w:p>
    <w:p>
      <w:pPr>
        <w:spacing w:line="300" w:lineRule="auto"/>
        <w:ind w:firstLine="480"/>
      </w:pPr>
      <w:r>
        <w:t>其它约束包括但不限于：</w:t>
      </w:r>
    </w:p>
    <w:p>
      <w:pPr>
        <w:pStyle w:val="53"/>
        <w:numPr>
          <w:ilvl w:val="0"/>
          <w:numId w:val="30"/>
        </w:numPr>
        <w:spacing w:line="300" w:lineRule="auto"/>
        <w:ind w:firstLineChars="0"/>
      </w:pPr>
      <w:r>
        <w:t>燃料约束，包括系统、区域、机组（电厂、机组群）燃料约束，指对计划周期内发电总煤耗量的限制，对水电机组，包括上游来水量、下游防洪、下游水电厂发电计划等因素的限制；</w:t>
      </w:r>
    </w:p>
    <w:p>
      <w:pPr>
        <w:pStyle w:val="53"/>
        <w:numPr>
          <w:ilvl w:val="0"/>
          <w:numId w:val="30"/>
        </w:numPr>
        <w:spacing w:line="300" w:lineRule="auto"/>
        <w:ind w:firstLineChars="0"/>
      </w:pPr>
      <w:r>
        <w:t>环保约束，即系统、区域、机组（电厂、机组群）环保约束，指对计划周期内发电环保容量的限制，主要包括火电厂的排放约束、水电的弃水约束、直流输电约束。</w:t>
      </w:r>
    </w:p>
    <w:p>
      <w:pPr>
        <w:pStyle w:val="5"/>
        <w:rPr>
          <w:rFonts w:ascii="Times New Roman" w:hAnsi="Times New Roman"/>
        </w:rPr>
      </w:pPr>
      <w:r>
        <w:rPr>
          <w:rFonts w:ascii="Times New Roman" w:hAnsi="Times New Roman"/>
        </w:rPr>
        <w:t>数据校验与处理</w:t>
      </w:r>
    </w:p>
    <w:p>
      <w:pPr>
        <w:pStyle w:val="53"/>
        <w:numPr>
          <w:ilvl w:val="0"/>
          <w:numId w:val="31"/>
        </w:numPr>
        <w:spacing w:line="300" w:lineRule="auto"/>
        <w:ind w:firstLineChars="0"/>
      </w:pPr>
      <w:r>
        <w:t>能够对日前市场所需数据进行数据校验和处理，确保数据满足计算要求；</w:t>
      </w:r>
    </w:p>
    <w:p>
      <w:pPr>
        <w:pStyle w:val="53"/>
        <w:numPr>
          <w:ilvl w:val="0"/>
          <w:numId w:val="31"/>
        </w:numPr>
        <w:spacing w:line="300" w:lineRule="auto"/>
        <w:ind w:firstLineChars="0"/>
      </w:pPr>
      <w:r>
        <w:t>具备数据校验功能，支持校验规则的配置和生效设置，包括对各类分项数据的单一合理性验证，以及对各种相互关联数据的相关性验证；</w:t>
      </w:r>
    </w:p>
    <w:p>
      <w:pPr>
        <w:pStyle w:val="53"/>
        <w:numPr>
          <w:ilvl w:val="0"/>
          <w:numId w:val="31"/>
        </w:numPr>
        <w:spacing w:line="300" w:lineRule="auto"/>
        <w:ind w:firstLineChars="0"/>
      </w:pPr>
      <w:r>
        <w:t>具备数据处理功能，支持对日前市场出清所使用的系统负荷预测、母线负荷预测、联络线计划、检修计划等数据进行修改维护。</w:t>
      </w:r>
    </w:p>
    <w:p>
      <w:pPr>
        <w:pStyle w:val="5"/>
        <w:rPr>
          <w:rFonts w:ascii="Times New Roman" w:hAnsi="Times New Roman"/>
        </w:rPr>
      </w:pPr>
      <w:r>
        <w:rPr>
          <w:rFonts w:ascii="Times New Roman" w:hAnsi="Times New Roman"/>
        </w:rPr>
        <w:t>日前市场出清</w:t>
      </w:r>
    </w:p>
    <w:p>
      <w:pPr>
        <w:pStyle w:val="53"/>
        <w:numPr>
          <w:ilvl w:val="0"/>
          <w:numId w:val="32"/>
        </w:numPr>
        <w:spacing w:line="300" w:lineRule="auto"/>
        <w:ind w:firstLineChars="0"/>
      </w:pPr>
      <w:r>
        <w:t>支持以安全约束机组组合（SCUC）及安全约束经济调度（SCED）进行优化出清；</w:t>
      </w:r>
    </w:p>
    <w:p>
      <w:pPr>
        <w:pStyle w:val="53"/>
        <w:numPr>
          <w:ilvl w:val="0"/>
          <w:numId w:val="32"/>
        </w:numPr>
        <w:spacing w:line="300" w:lineRule="auto"/>
        <w:ind w:firstLineChars="0"/>
      </w:pPr>
      <w:r>
        <w:rPr>
          <w:rFonts w:hint="eastAsia"/>
        </w:rPr>
        <w:t>支持</w:t>
      </w:r>
      <w:r>
        <w:t>边际出清</w:t>
      </w:r>
      <w:r>
        <w:rPr>
          <w:rFonts w:hint="eastAsia"/>
        </w:rPr>
        <w:t>，具备系统</w:t>
      </w:r>
      <w:r>
        <w:t>边际电价/</w:t>
      </w:r>
      <w:r>
        <w:rPr>
          <w:rFonts w:hint="eastAsia"/>
        </w:rPr>
        <w:t>分区</w:t>
      </w:r>
      <w:r>
        <w:t>边际电价计算功能</w:t>
      </w:r>
      <w:r>
        <w:rPr>
          <w:rFonts w:hint="eastAsia"/>
        </w:rPr>
        <w:t>；</w:t>
      </w:r>
    </w:p>
    <w:p>
      <w:pPr>
        <w:pStyle w:val="53"/>
        <w:numPr>
          <w:ilvl w:val="0"/>
          <w:numId w:val="32"/>
        </w:numPr>
        <w:spacing w:line="300" w:lineRule="auto"/>
        <w:ind w:firstLineChars="0"/>
      </w:pPr>
      <w:r>
        <w:rPr>
          <w:rFonts w:hint="eastAsia"/>
        </w:rPr>
        <w:t>支持市场</w:t>
      </w:r>
      <w:r>
        <w:t>规则规定的其它出清模式；</w:t>
      </w:r>
    </w:p>
    <w:p>
      <w:pPr>
        <w:pStyle w:val="53"/>
        <w:numPr>
          <w:ilvl w:val="0"/>
          <w:numId w:val="32"/>
        </w:numPr>
        <w:spacing w:line="300" w:lineRule="auto"/>
        <w:ind w:firstLineChars="0"/>
      </w:pPr>
      <w:r>
        <w:t>具备节点边际电价（LMP）和分区平均节点电价计算功能，并给出LMP的能量价格、阻塞价格、网损价格分量；</w:t>
      </w:r>
    </w:p>
    <w:p>
      <w:pPr>
        <w:pStyle w:val="53"/>
        <w:numPr>
          <w:ilvl w:val="0"/>
          <w:numId w:val="32"/>
        </w:numPr>
        <w:spacing w:line="300" w:lineRule="auto"/>
        <w:ind w:firstLineChars="0"/>
      </w:pPr>
      <w:r>
        <w:t>能够根据约束条件设置综合考虑各种约束条件；</w:t>
      </w:r>
    </w:p>
    <w:p>
      <w:pPr>
        <w:pStyle w:val="53"/>
        <w:numPr>
          <w:ilvl w:val="0"/>
          <w:numId w:val="32"/>
        </w:numPr>
        <w:spacing w:line="300" w:lineRule="auto"/>
        <w:ind w:firstLineChars="0"/>
      </w:pPr>
      <w:r>
        <w:t>支持设定次日15分钟或1小时滚动计算；</w:t>
      </w:r>
    </w:p>
    <w:p>
      <w:pPr>
        <w:pStyle w:val="53"/>
        <w:numPr>
          <w:ilvl w:val="0"/>
          <w:numId w:val="32"/>
        </w:numPr>
        <w:spacing w:line="300" w:lineRule="auto"/>
        <w:ind w:firstLineChars="0"/>
      </w:pPr>
      <w:r>
        <w:t>计算输出结果包括机组开停机组合、出力、价格、总成本、约束是否松弛、计算时间、计算过程日志、安全校核结果等信息；</w:t>
      </w:r>
    </w:p>
    <w:p>
      <w:pPr>
        <w:pStyle w:val="53"/>
        <w:numPr>
          <w:ilvl w:val="0"/>
          <w:numId w:val="32"/>
        </w:numPr>
        <w:spacing w:line="300" w:lineRule="auto"/>
        <w:ind w:firstLineChars="0"/>
      </w:pPr>
      <w:r>
        <w:t>能够与交流安全校核进行迭代计算，计算结果送安全校核进行交流潮流计算，出现设备或断面越限时，由安全校核反馈越限信息至SCUC、SCED重新进行优化计算，直至生成满足安全约束条件的市场出清结果；</w:t>
      </w:r>
    </w:p>
    <w:p>
      <w:pPr>
        <w:pStyle w:val="53"/>
        <w:numPr>
          <w:ilvl w:val="0"/>
          <w:numId w:val="32"/>
        </w:numPr>
        <w:spacing w:line="300" w:lineRule="auto"/>
        <w:ind w:firstLineChars="0"/>
      </w:pPr>
      <w:r>
        <w:t>支持多算例并行计算及对比分析。</w:t>
      </w:r>
    </w:p>
    <w:p>
      <w:pPr>
        <w:pStyle w:val="5"/>
        <w:rPr>
          <w:rFonts w:ascii="Times New Roman" w:hAnsi="Times New Roman"/>
        </w:rPr>
      </w:pPr>
      <w:r>
        <w:rPr>
          <w:rFonts w:ascii="Times New Roman" w:hAnsi="Times New Roman"/>
        </w:rPr>
        <w:t>市场异常监测</w:t>
      </w:r>
    </w:p>
    <w:p>
      <w:pPr>
        <w:pStyle w:val="53"/>
        <w:numPr>
          <w:ilvl w:val="0"/>
          <w:numId w:val="33"/>
        </w:numPr>
        <w:spacing w:line="300" w:lineRule="auto"/>
        <w:ind w:firstLineChars="0"/>
      </w:pPr>
      <w:r>
        <w:t>支持从价格、出力、断面三个方面对出清结果进行分析；</w:t>
      </w:r>
    </w:p>
    <w:p>
      <w:pPr>
        <w:pStyle w:val="53"/>
        <w:numPr>
          <w:ilvl w:val="0"/>
          <w:numId w:val="33"/>
        </w:numPr>
        <w:spacing w:line="300" w:lineRule="auto"/>
        <w:ind w:firstLineChars="0"/>
      </w:pPr>
      <w:r>
        <w:t>支持节点价格异常监测，设定最高限价，当节点价格超过门槛值时进行告警；</w:t>
      </w:r>
    </w:p>
    <w:p>
      <w:pPr>
        <w:pStyle w:val="53"/>
        <w:numPr>
          <w:ilvl w:val="0"/>
          <w:numId w:val="33"/>
        </w:numPr>
        <w:spacing w:line="300" w:lineRule="auto"/>
        <w:ind w:firstLineChars="0"/>
      </w:pPr>
      <w:r>
        <w:t>支持机组计划异常监测，</w:t>
      </w:r>
      <w:r>
        <w:rPr>
          <w:rFonts w:hint="eastAsia"/>
        </w:rPr>
        <w:t>在</w:t>
      </w:r>
      <w:r>
        <w:t>机组出力不在参数限定范围内、系统平衡约束松弛量超过设定值、系统备用需求不满足等情况</w:t>
      </w:r>
      <w:r>
        <w:rPr>
          <w:rFonts w:hint="eastAsia"/>
        </w:rPr>
        <w:t>下</w:t>
      </w:r>
      <w:r>
        <w:t>进行告警；</w:t>
      </w:r>
    </w:p>
    <w:p>
      <w:pPr>
        <w:pStyle w:val="53"/>
        <w:numPr>
          <w:ilvl w:val="0"/>
          <w:numId w:val="33"/>
        </w:numPr>
        <w:spacing w:line="300" w:lineRule="auto"/>
        <w:ind w:firstLineChars="0"/>
      </w:pPr>
      <w:r>
        <w:t>支持断面异常监测，当出清结果在进行交流安全校核时出现断面重载或越限情况时进行告警。</w:t>
      </w:r>
    </w:p>
    <w:p>
      <w:pPr>
        <w:pStyle w:val="5"/>
        <w:rPr>
          <w:rFonts w:ascii="Times New Roman" w:hAnsi="Times New Roman"/>
        </w:rPr>
      </w:pPr>
      <w:r>
        <w:rPr>
          <w:rFonts w:ascii="Times New Roman" w:hAnsi="Times New Roman"/>
        </w:rPr>
        <w:t>市场出清异常处置</w:t>
      </w:r>
    </w:p>
    <w:p>
      <w:pPr>
        <w:spacing w:line="300" w:lineRule="auto"/>
        <w:ind w:firstLine="420"/>
      </w:pPr>
      <w:r>
        <w:t>在规定的时间内日前市场出清无满足约束条件的的出清结果或者市场出清异常，无法满足电网稳定运行安全约束时，由</w:t>
      </w:r>
      <w:r>
        <w:rPr>
          <w:rFonts w:hint="eastAsia"/>
        </w:rPr>
        <w:t>市场运营</w:t>
      </w:r>
      <w:r>
        <w:t>机构进行异常处置，并发布处置后的日前市场交易结果，市场出清异常处置措施包括：</w:t>
      </w:r>
    </w:p>
    <w:p>
      <w:pPr>
        <w:pStyle w:val="53"/>
        <w:numPr>
          <w:ilvl w:val="0"/>
          <w:numId w:val="34"/>
        </w:numPr>
        <w:spacing w:line="300" w:lineRule="auto"/>
        <w:ind w:firstLineChars="0"/>
      </w:pPr>
      <w:r>
        <w:t>修改不能满足的约束条件重新进行市场出清；</w:t>
      </w:r>
    </w:p>
    <w:p>
      <w:pPr>
        <w:pStyle w:val="53"/>
        <w:numPr>
          <w:ilvl w:val="0"/>
          <w:numId w:val="34"/>
        </w:numPr>
        <w:spacing w:line="300" w:lineRule="auto"/>
        <w:ind w:firstLineChars="0"/>
      </w:pPr>
      <w:r>
        <w:t>根据市场规则以前一日或者历史相似日市场交易结果作为日前市场出清结果；</w:t>
      </w:r>
    </w:p>
    <w:p>
      <w:pPr>
        <w:pStyle w:val="53"/>
        <w:numPr>
          <w:ilvl w:val="0"/>
          <w:numId w:val="34"/>
        </w:numPr>
        <w:spacing w:line="300" w:lineRule="auto"/>
        <w:ind w:firstLineChars="0"/>
      </w:pPr>
      <w:r>
        <w:t>其它符合市场规则的市场出清异常处置措施。</w:t>
      </w:r>
    </w:p>
    <w:p>
      <w:pPr>
        <w:pStyle w:val="5"/>
        <w:rPr>
          <w:rFonts w:ascii="Times New Roman" w:hAnsi="Times New Roman"/>
        </w:rPr>
      </w:pPr>
      <w:r>
        <w:rPr>
          <w:rFonts w:ascii="Times New Roman" w:hAnsi="Times New Roman"/>
        </w:rPr>
        <w:t>日前市场结果管理</w:t>
      </w:r>
    </w:p>
    <w:p>
      <w:pPr>
        <w:pStyle w:val="53"/>
        <w:numPr>
          <w:ilvl w:val="0"/>
          <w:numId w:val="35"/>
        </w:numPr>
        <w:spacing w:line="300" w:lineRule="auto"/>
        <w:ind w:firstLineChars="0"/>
      </w:pPr>
      <w:r>
        <w:t>支持机组组合、机组出力、节点价格、分区价格等市场出清结果信息查询与统计；</w:t>
      </w:r>
    </w:p>
    <w:p>
      <w:pPr>
        <w:pStyle w:val="53"/>
        <w:numPr>
          <w:ilvl w:val="0"/>
          <w:numId w:val="35"/>
        </w:numPr>
        <w:spacing w:line="300" w:lineRule="auto"/>
        <w:ind w:firstLineChars="0"/>
      </w:pPr>
      <w:r>
        <w:t>支持设备重载、越限、N-1故障分析等安全校核计算结果信息查询与统计；</w:t>
      </w:r>
    </w:p>
    <w:p>
      <w:pPr>
        <w:pStyle w:val="53"/>
        <w:numPr>
          <w:ilvl w:val="0"/>
          <w:numId w:val="35"/>
        </w:numPr>
        <w:spacing w:line="300" w:lineRule="auto"/>
        <w:ind w:firstLineChars="0"/>
      </w:pPr>
      <w:r>
        <w:t>提供对市场出清结果</w:t>
      </w:r>
      <w:r>
        <w:rPr>
          <w:rFonts w:hint="eastAsia"/>
        </w:rPr>
        <w:t>进行</w:t>
      </w:r>
      <w:r>
        <w:t>人工干预</w:t>
      </w:r>
      <w:r>
        <w:rPr>
          <w:rFonts w:hint="eastAsia"/>
        </w:rPr>
        <w:t>的</w:t>
      </w:r>
      <w:r>
        <w:t>手段；</w:t>
      </w:r>
    </w:p>
    <w:p>
      <w:pPr>
        <w:pStyle w:val="53"/>
        <w:numPr>
          <w:ilvl w:val="0"/>
          <w:numId w:val="35"/>
        </w:numPr>
        <w:spacing w:line="300" w:lineRule="auto"/>
        <w:ind w:firstLineChars="0"/>
      </w:pPr>
      <w:r>
        <w:t>具备结果审批功能，支持将机组出力及启停计划、节点电价等市场出清结果提交审批，并记录审批结果；</w:t>
      </w:r>
    </w:p>
    <w:p>
      <w:pPr>
        <w:pStyle w:val="53"/>
        <w:numPr>
          <w:ilvl w:val="0"/>
          <w:numId w:val="35"/>
        </w:numPr>
        <w:spacing w:line="300" w:lineRule="auto"/>
        <w:ind w:firstLineChars="0"/>
      </w:pPr>
      <w:r>
        <w:t>具备结果发布功能，支持将日前市场交易结果分公有信息和私有信息进行发布，信息发布根据数据属性和登录用户角色自动对信息进行分流控制。</w:t>
      </w:r>
    </w:p>
    <w:p/>
    <w:p>
      <w:pPr>
        <w:pStyle w:val="4"/>
      </w:pPr>
      <w:bookmarkStart w:id="119" w:name="_Toc511389206"/>
      <w:r>
        <w:t>界面要求</w:t>
      </w:r>
      <w:bookmarkEnd w:id="119"/>
    </w:p>
    <w:p>
      <w:pPr>
        <w:pStyle w:val="53"/>
        <w:numPr>
          <w:ilvl w:val="0"/>
          <w:numId w:val="36"/>
        </w:numPr>
        <w:spacing w:line="300" w:lineRule="auto"/>
        <w:ind w:firstLineChars="0"/>
      </w:pPr>
      <w:r>
        <w:t>支持机组组合状态显示并展示前一日机组状态变化及变化时间；</w:t>
      </w:r>
    </w:p>
    <w:p>
      <w:pPr>
        <w:pStyle w:val="53"/>
        <w:numPr>
          <w:ilvl w:val="0"/>
          <w:numId w:val="36"/>
        </w:numPr>
        <w:spacing w:line="300" w:lineRule="auto"/>
        <w:ind w:firstLineChars="0"/>
      </w:pPr>
      <w:r>
        <w:t>支持按照地理行政分区或逻辑价区的分区价格查询，支持通过地理图形式显示分区价格；</w:t>
      </w:r>
    </w:p>
    <w:p>
      <w:pPr>
        <w:pStyle w:val="53"/>
        <w:numPr>
          <w:ilvl w:val="0"/>
          <w:numId w:val="36"/>
        </w:numPr>
        <w:spacing w:line="300" w:lineRule="auto"/>
        <w:ind w:firstLineChars="0"/>
      </w:pPr>
      <w:r>
        <w:t>支持机组出力及出清价格查询及对比展示；</w:t>
      </w:r>
    </w:p>
    <w:p>
      <w:pPr>
        <w:pStyle w:val="53"/>
        <w:numPr>
          <w:ilvl w:val="0"/>
          <w:numId w:val="36"/>
        </w:numPr>
        <w:spacing w:line="300" w:lineRule="auto"/>
        <w:ind w:firstLineChars="0"/>
      </w:pPr>
      <w:r>
        <w:t>支持节点价格及节点所关联的负荷、机组出清结果展示；</w:t>
      </w:r>
    </w:p>
    <w:p>
      <w:pPr>
        <w:pStyle w:val="53"/>
        <w:numPr>
          <w:ilvl w:val="0"/>
          <w:numId w:val="36"/>
        </w:numPr>
        <w:spacing w:line="300" w:lineRule="auto"/>
        <w:ind w:firstLineChars="0"/>
      </w:pPr>
      <w:r>
        <w:t>支持全天范围最高LMP、最低LMP、平均加权LMP曲线展示及系统负荷预测趋势对比展示；</w:t>
      </w:r>
    </w:p>
    <w:p>
      <w:pPr>
        <w:pStyle w:val="53"/>
        <w:numPr>
          <w:ilvl w:val="0"/>
          <w:numId w:val="36"/>
        </w:numPr>
        <w:spacing w:line="300" w:lineRule="auto"/>
        <w:ind w:firstLineChars="0"/>
      </w:pPr>
      <w:r>
        <w:t>支持所有设备（线路、变压器绕组、断面）的安全校核详细潮流及相关发电机组灵敏度信息查询展示；</w:t>
      </w:r>
    </w:p>
    <w:p>
      <w:pPr>
        <w:pStyle w:val="53"/>
        <w:numPr>
          <w:ilvl w:val="0"/>
          <w:numId w:val="36"/>
        </w:numPr>
        <w:spacing w:line="300" w:lineRule="auto"/>
        <w:ind w:firstLineChars="0"/>
      </w:pPr>
      <w:r>
        <w:t>支持安全校核计算出的设备重载、越限、N-1故障信息查询分析展示，包括但不限于：</w:t>
      </w:r>
    </w:p>
    <w:p>
      <w:pPr>
        <w:pStyle w:val="53"/>
        <w:numPr>
          <w:ilvl w:val="0"/>
          <w:numId w:val="37"/>
        </w:numPr>
        <w:spacing w:line="300" w:lineRule="auto"/>
        <w:ind w:firstLineChars="0"/>
      </w:pPr>
      <w:r>
        <w:t>支持汇总展示安全校核计算结果的重载、越限、N-1越限的时段数、设备数等信息；</w:t>
      </w:r>
    </w:p>
    <w:p>
      <w:pPr>
        <w:pStyle w:val="53"/>
        <w:numPr>
          <w:ilvl w:val="0"/>
          <w:numId w:val="37"/>
        </w:numPr>
        <w:spacing w:line="300" w:lineRule="auto"/>
        <w:ind w:firstLineChars="0"/>
      </w:pPr>
      <w:r>
        <w:t>支持从时间维展示安全校核计算中出现重载、基态越限和预想故障越限的时段，能够任意选择某个时段展示计划模式下的潮流和校核结果，能够展示各时段出现重载和越限的元件个数；</w:t>
      </w:r>
    </w:p>
    <w:p>
      <w:pPr>
        <w:pStyle w:val="53"/>
        <w:numPr>
          <w:ilvl w:val="0"/>
          <w:numId w:val="37"/>
        </w:numPr>
        <w:spacing w:line="300" w:lineRule="auto"/>
        <w:ind w:firstLineChars="0"/>
      </w:pPr>
      <w:r>
        <w:t>能够展示单个设备在安全校核计算中出现重载、越限和预想故障越限的时段数目，显示其各时段的计划潮流；</w:t>
      </w:r>
    </w:p>
    <w:p>
      <w:pPr>
        <w:pStyle w:val="53"/>
        <w:numPr>
          <w:ilvl w:val="0"/>
          <w:numId w:val="37"/>
        </w:numPr>
        <w:spacing w:line="300" w:lineRule="auto"/>
        <w:ind w:firstLineChars="0"/>
      </w:pPr>
      <w:r>
        <w:t>支持从预想故障维显示在某一预想故障情况下出现重载和越限的时段个数，以及某时段越限最为严重的设备名称及计划潮流。</w:t>
      </w:r>
    </w:p>
    <w:p>
      <w:pPr>
        <w:pStyle w:val="4"/>
      </w:pPr>
      <w:bookmarkStart w:id="120" w:name="_Toc511389207"/>
      <w:r>
        <w:t>接口要求</w:t>
      </w:r>
      <w:bookmarkEnd w:id="120"/>
    </w:p>
    <w:p>
      <w:pPr>
        <w:pStyle w:val="5"/>
        <w:rPr>
          <w:rFonts w:ascii="Times New Roman" w:hAnsi="Times New Roman"/>
        </w:rPr>
      </w:pPr>
      <w:r>
        <w:rPr>
          <w:rFonts w:ascii="Times New Roman" w:hAnsi="Times New Roman"/>
        </w:rPr>
        <w:t>数据输入</w:t>
      </w:r>
    </w:p>
    <w:p>
      <w:pPr>
        <w:pStyle w:val="53"/>
        <w:numPr>
          <w:ilvl w:val="0"/>
          <w:numId w:val="38"/>
        </w:numPr>
        <w:spacing w:line="300" w:lineRule="auto"/>
        <w:ind w:firstLineChars="0"/>
      </w:pPr>
      <w:r>
        <w:t>来自EMS系统的电网模型、限额信息、故障信息；</w:t>
      </w:r>
    </w:p>
    <w:p>
      <w:pPr>
        <w:pStyle w:val="53"/>
        <w:numPr>
          <w:ilvl w:val="0"/>
          <w:numId w:val="38"/>
        </w:numPr>
        <w:spacing w:line="300" w:lineRule="auto"/>
        <w:ind w:firstLineChars="0"/>
      </w:pPr>
      <w:r>
        <w:t>来自EMS系统的状态估计信息；</w:t>
      </w:r>
    </w:p>
    <w:p>
      <w:pPr>
        <w:pStyle w:val="53"/>
        <w:numPr>
          <w:ilvl w:val="0"/>
          <w:numId w:val="38"/>
        </w:numPr>
        <w:spacing w:line="300" w:lineRule="auto"/>
        <w:ind w:firstLineChars="0"/>
      </w:pPr>
      <w:r>
        <w:t>来自EMS系统、OMS系统计算周期范围内的短期系统负荷预测、短期母线负荷预测、日前联络线计划、日前检修计划、可再生能源发电预测等信息；</w:t>
      </w:r>
    </w:p>
    <w:p>
      <w:pPr>
        <w:pStyle w:val="53"/>
        <w:numPr>
          <w:ilvl w:val="0"/>
          <w:numId w:val="38"/>
        </w:numPr>
        <w:spacing w:line="300" w:lineRule="auto"/>
        <w:ind w:firstLineChars="0"/>
      </w:pPr>
      <w:r>
        <w:t>来自市场申报的市场报价、计划电量、计划出力建议、出力限额等信息；</w:t>
      </w:r>
    </w:p>
    <w:p>
      <w:pPr>
        <w:pStyle w:val="53"/>
        <w:numPr>
          <w:ilvl w:val="0"/>
          <w:numId w:val="38"/>
        </w:numPr>
        <w:spacing w:line="300" w:lineRule="auto"/>
        <w:ind w:firstLineChars="0"/>
      </w:pPr>
      <w:r>
        <w:t>来自市场模型的机组出力上下限、爬坡速率、AGC调节速率、最小开停机时间、开停机次数、启停磨、振动区等信息；</w:t>
      </w:r>
    </w:p>
    <w:p>
      <w:pPr>
        <w:pStyle w:val="53"/>
        <w:numPr>
          <w:ilvl w:val="0"/>
          <w:numId w:val="38"/>
        </w:numPr>
        <w:spacing w:line="300" w:lineRule="auto"/>
        <w:ind w:firstLineChars="0"/>
      </w:pPr>
      <w:r>
        <w:t>来自安全校核的灵敏度信息；</w:t>
      </w:r>
    </w:p>
    <w:p>
      <w:pPr>
        <w:pStyle w:val="53"/>
        <w:numPr>
          <w:ilvl w:val="0"/>
          <w:numId w:val="38"/>
        </w:numPr>
        <w:spacing w:line="300" w:lineRule="auto"/>
        <w:ind w:firstLineChars="0"/>
      </w:pPr>
      <w:r>
        <w:t>年度、月度发电计划和交易信息。</w:t>
      </w:r>
    </w:p>
    <w:p>
      <w:pPr>
        <w:pStyle w:val="5"/>
        <w:rPr>
          <w:rFonts w:ascii="Times New Roman" w:hAnsi="Times New Roman"/>
        </w:rPr>
      </w:pPr>
      <w:r>
        <w:rPr>
          <w:rFonts w:ascii="Times New Roman" w:hAnsi="Times New Roman"/>
        </w:rPr>
        <w:t>数据输出</w:t>
      </w:r>
    </w:p>
    <w:p>
      <w:pPr>
        <w:spacing w:line="300" w:lineRule="auto"/>
        <w:ind w:firstLine="480"/>
      </w:pPr>
      <w:r>
        <w:t>机组开停机组合、机组出力、节点价格、分区价格、安全校核结果。</w:t>
      </w:r>
    </w:p>
    <w:p/>
    <w:p>
      <w:pPr>
        <w:pStyle w:val="3"/>
      </w:pPr>
      <w:bookmarkStart w:id="121" w:name="_Toc500597444"/>
      <w:bookmarkStart w:id="122" w:name="_Toc511389208"/>
      <w:r>
        <w:t>日内市场</w:t>
      </w:r>
      <w:bookmarkEnd w:id="121"/>
      <w:bookmarkEnd w:id="122"/>
    </w:p>
    <w:p>
      <w:pPr>
        <w:spacing w:line="300" w:lineRule="auto"/>
        <w:ind w:firstLine="480"/>
      </w:pPr>
      <w:r>
        <w:t>日内市场主要用于指导日内调度计划制定，根据市场规则选择是否设置日内市场。</w:t>
      </w:r>
    </w:p>
    <w:p>
      <w:pPr>
        <w:spacing w:line="300" w:lineRule="auto"/>
        <w:ind w:firstLine="480"/>
      </w:pPr>
      <w:r>
        <w:t>根据系统实际运行情况、最新负荷预测需求、市场上调/下调报价及启停报价等，采用SCUC，每15分钟滚动计算未来15分钟至未来多小时多个时段的最优的快速启动机组的启停计划，支持人工手动触发计算。</w:t>
      </w:r>
    </w:p>
    <w:p>
      <w:pPr>
        <w:pStyle w:val="4"/>
      </w:pPr>
      <w:bookmarkStart w:id="123" w:name="_Toc511389209"/>
      <w:r>
        <w:t>功能要求</w:t>
      </w:r>
      <w:bookmarkEnd w:id="123"/>
    </w:p>
    <w:p>
      <w:pPr>
        <w:pStyle w:val="5"/>
        <w:rPr>
          <w:rFonts w:ascii="Times New Roman" w:hAnsi="Times New Roman"/>
        </w:rPr>
      </w:pPr>
      <w:r>
        <w:rPr>
          <w:rFonts w:ascii="Times New Roman" w:hAnsi="Times New Roman"/>
        </w:rPr>
        <w:t>约束条件管理</w:t>
      </w:r>
    </w:p>
    <w:p>
      <w:pPr>
        <w:spacing w:line="300" w:lineRule="auto"/>
        <w:ind w:firstLine="480"/>
      </w:pPr>
      <w:r>
        <w:t>满足机组约束</w:t>
      </w:r>
      <w:r>
        <w:rPr>
          <w:rFonts w:hint="eastAsia"/>
        </w:rPr>
        <w:t>、</w:t>
      </w:r>
      <w:r>
        <w:t>系统平衡约束</w:t>
      </w:r>
      <w:r>
        <w:rPr>
          <w:rFonts w:hint="eastAsia"/>
        </w:rPr>
        <w:t>、</w:t>
      </w:r>
      <w:r>
        <w:t>网络约束等约束条件，各约束条件可以灵活进行参数配置和生效设置。</w:t>
      </w:r>
    </w:p>
    <w:p>
      <w:pPr>
        <w:spacing w:line="300" w:lineRule="auto"/>
        <w:ind w:firstLine="480"/>
      </w:pPr>
      <w:r>
        <w:t>机组约束包括但不限于：</w:t>
      </w:r>
    </w:p>
    <w:p>
      <w:pPr>
        <w:pStyle w:val="53"/>
        <w:numPr>
          <w:ilvl w:val="0"/>
          <w:numId w:val="39"/>
        </w:numPr>
        <w:spacing w:line="300" w:lineRule="auto"/>
        <w:ind w:firstLineChars="0"/>
      </w:pPr>
      <w:r>
        <w:t>机组（机组群）可调出力约束，包括机组（机组群）出力上限约束、出力下限约束，支持每个时段设定不同的上下限值；</w:t>
      </w:r>
    </w:p>
    <w:p>
      <w:pPr>
        <w:pStyle w:val="53"/>
        <w:numPr>
          <w:ilvl w:val="0"/>
          <w:numId w:val="39"/>
        </w:numPr>
        <w:spacing w:line="300" w:lineRule="auto"/>
        <w:ind w:firstLineChars="0"/>
      </w:pPr>
      <w:r>
        <w:t>机组爬坡速率约束，包括机组升出力速率约束和降出力速率约束；</w:t>
      </w:r>
    </w:p>
    <w:p>
      <w:pPr>
        <w:pStyle w:val="53"/>
        <w:numPr>
          <w:ilvl w:val="0"/>
          <w:numId w:val="39"/>
        </w:numPr>
        <w:spacing w:line="300" w:lineRule="auto"/>
        <w:ind w:firstLineChars="0"/>
      </w:pPr>
      <w:r>
        <w:t>机组最小启停时间约束，包括机组最小停机时间和机组最小连续运行时间；</w:t>
      </w:r>
    </w:p>
    <w:p>
      <w:pPr>
        <w:pStyle w:val="53"/>
        <w:numPr>
          <w:ilvl w:val="0"/>
          <w:numId w:val="39"/>
        </w:numPr>
        <w:spacing w:line="300" w:lineRule="auto"/>
        <w:ind w:firstLineChars="0"/>
      </w:pPr>
      <w:r>
        <w:t>机组最大启停次数约束；</w:t>
      </w:r>
    </w:p>
    <w:p>
      <w:pPr>
        <w:pStyle w:val="53"/>
        <w:numPr>
          <w:ilvl w:val="0"/>
          <w:numId w:val="39"/>
        </w:numPr>
        <w:spacing w:line="300" w:lineRule="auto"/>
        <w:ind w:firstLineChars="0"/>
      </w:pPr>
      <w:r>
        <w:t>机组启停出力曲线约束，包括机组开机过程曲线和停机过程曲线约束；</w:t>
      </w:r>
    </w:p>
    <w:p>
      <w:pPr>
        <w:pStyle w:val="53"/>
        <w:numPr>
          <w:ilvl w:val="0"/>
          <w:numId w:val="39"/>
        </w:numPr>
        <w:spacing w:line="300" w:lineRule="auto"/>
        <w:ind w:firstLineChars="0"/>
      </w:pPr>
      <w:r>
        <w:t>固定计划约束，支持机组和电厂（机组群）固定计划设置；</w:t>
      </w:r>
    </w:p>
    <w:p>
      <w:pPr>
        <w:pStyle w:val="53"/>
        <w:numPr>
          <w:ilvl w:val="0"/>
          <w:numId w:val="39"/>
        </w:numPr>
        <w:spacing w:line="300" w:lineRule="auto"/>
        <w:ind w:firstLineChars="0"/>
      </w:pPr>
      <w:r>
        <w:t>电量约束，支持机组和电厂（机组群）日发电量约束的设置；</w:t>
      </w:r>
    </w:p>
    <w:p>
      <w:pPr>
        <w:pStyle w:val="53"/>
        <w:numPr>
          <w:ilvl w:val="0"/>
          <w:numId w:val="39"/>
        </w:numPr>
        <w:spacing w:line="300" w:lineRule="auto"/>
        <w:ind w:firstLineChars="0"/>
      </w:pPr>
      <w:r>
        <w:t>区域最小开机台数约束，支持分区设置和最小开机台数设置；</w:t>
      </w:r>
    </w:p>
    <w:p>
      <w:pPr>
        <w:pStyle w:val="53"/>
        <w:numPr>
          <w:ilvl w:val="0"/>
          <w:numId w:val="39"/>
        </w:numPr>
        <w:spacing w:line="300" w:lineRule="auto"/>
        <w:ind w:firstLineChars="0"/>
      </w:pPr>
      <w:r>
        <w:t>机组（机组群）备用约束，支持设置机组（机组群）正负旋转备用、AGC备用设置；</w:t>
      </w:r>
    </w:p>
    <w:p>
      <w:pPr>
        <w:pStyle w:val="53"/>
        <w:numPr>
          <w:ilvl w:val="0"/>
          <w:numId w:val="39"/>
        </w:numPr>
        <w:spacing w:line="300" w:lineRule="auto"/>
        <w:ind w:firstLineChars="0"/>
      </w:pPr>
      <w:r>
        <w:t>机组启停磨约束设置，支持设置机组启停磨出力区间；</w:t>
      </w:r>
    </w:p>
    <w:p>
      <w:pPr>
        <w:pStyle w:val="53"/>
        <w:numPr>
          <w:ilvl w:val="0"/>
          <w:numId w:val="39"/>
        </w:numPr>
        <w:spacing w:line="300" w:lineRule="auto"/>
        <w:ind w:firstLineChars="0"/>
      </w:pPr>
      <w:r>
        <w:t>水电机组振动区设置，支持设置水电机组振动区出力区间；</w:t>
      </w:r>
    </w:p>
    <w:p>
      <w:pPr>
        <w:pStyle w:val="53"/>
        <w:numPr>
          <w:ilvl w:val="0"/>
          <w:numId w:val="39"/>
        </w:numPr>
        <w:spacing w:line="300" w:lineRule="auto"/>
        <w:ind w:firstLineChars="0"/>
      </w:pPr>
      <w:r>
        <w:t>环保排放限值约束，支持机组和电厂（机组群）污染物排放约束的设置，污染物类型支持二氧化硫、氮氧化物、烟尘和二氧化碳等。</w:t>
      </w:r>
    </w:p>
    <w:p>
      <w:pPr>
        <w:spacing w:line="300" w:lineRule="auto"/>
        <w:ind w:firstLine="480"/>
      </w:pPr>
      <w:r>
        <w:t>系统平衡约束包括但不限于：</w:t>
      </w:r>
    </w:p>
    <w:p>
      <w:pPr>
        <w:pStyle w:val="53"/>
        <w:numPr>
          <w:ilvl w:val="0"/>
          <w:numId w:val="40"/>
        </w:numPr>
        <w:spacing w:line="300" w:lineRule="auto"/>
        <w:ind w:firstLineChars="0"/>
      </w:pPr>
      <w:r>
        <w:t>功率平衡约束，要求满足系统各个时段用电需求、交换计划和发电计划保持功率平衡；</w:t>
      </w:r>
    </w:p>
    <w:p>
      <w:pPr>
        <w:pStyle w:val="53"/>
        <w:numPr>
          <w:ilvl w:val="0"/>
          <w:numId w:val="40"/>
        </w:numPr>
        <w:spacing w:line="300" w:lineRule="auto"/>
        <w:ind w:firstLineChars="0"/>
      </w:pPr>
      <w:r>
        <w:t>系统备用约束，支持系统备用容量（比例）设定，要求机组组合计划和出力计划满足系统旋转备用和调节备用要求；</w:t>
      </w:r>
    </w:p>
    <w:p>
      <w:pPr>
        <w:pStyle w:val="53"/>
        <w:numPr>
          <w:ilvl w:val="0"/>
          <w:numId w:val="40"/>
        </w:numPr>
        <w:spacing w:line="300" w:lineRule="auto"/>
        <w:ind w:firstLineChars="0"/>
      </w:pPr>
      <w:r>
        <w:t>分区备用约束，支持分区设置和分区备用容量（比例）设定，要求各分区机组组合计划和出力计划满足各分区备用要求；</w:t>
      </w:r>
    </w:p>
    <w:p>
      <w:pPr>
        <w:pStyle w:val="53"/>
        <w:numPr>
          <w:ilvl w:val="0"/>
          <w:numId w:val="40"/>
        </w:numPr>
        <w:spacing w:line="300" w:lineRule="auto"/>
        <w:ind w:firstLineChars="0"/>
      </w:pPr>
      <w:r>
        <w:t>区域必开容量约束，支持分区设置和区域必开容量设定。</w:t>
      </w:r>
    </w:p>
    <w:p>
      <w:pPr>
        <w:spacing w:line="300" w:lineRule="auto"/>
        <w:ind w:firstLine="480"/>
      </w:pPr>
      <w:r>
        <w:t>网络约束包括但不限于：</w:t>
      </w:r>
    </w:p>
    <w:p>
      <w:pPr>
        <w:pStyle w:val="53"/>
        <w:numPr>
          <w:ilvl w:val="0"/>
          <w:numId w:val="41"/>
        </w:numPr>
        <w:spacing w:line="300" w:lineRule="auto"/>
        <w:ind w:firstLineChars="0"/>
      </w:pPr>
      <w:r>
        <w:t>断面限额约束，包括线路断面、主变断面的有功限额；</w:t>
      </w:r>
    </w:p>
    <w:p>
      <w:pPr>
        <w:pStyle w:val="53"/>
        <w:numPr>
          <w:ilvl w:val="0"/>
          <w:numId w:val="41"/>
        </w:numPr>
        <w:spacing w:line="300" w:lineRule="auto"/>
        <w:ind w:firstLineChars="0"/>
      </w:pPr>
      <w:r>
        <w:t>单元件热稳极限约束，包括线路、主变热稳限额；</w:t>
      </w:r>
    </w:p>
    <w:p>
      <w:pPr>
        <w:pStyle w:val="53"/>
        <w:numPr>
          <w:ilvl w:val="0"/>
          <w:numId w:val="41"/>
        </w:numPr>
        <w:spacing w:line="300" w:lineRule="auto"/>
        <w:ind w:firstLineChars="0"/>
      </w:pPr>
      <w:r>
        <w:t>关键输电元件N-1、预想故障集约束等。</w:t>
      </w:r>
    </w:p>
    <w:p>
      <w:pPr>
        <w:spacing w:line="300" w:lineRule="auto"/>
        <w:ind w:firstLine="480"/>
      </w:pPr>
      <w:r>
        <w:t>其它约束包括但不限于：</w:t>
      </w:r>
    </w:p>
    <w:p>
      <w:pPr>
        <w:pStyle w:val="53"/>
        <w:numPr>
          <w:ilvl w:val="0"/>
          <w:numId w:val="42"/>
        </w:numPr>
        <w:spacing w:line="300" w:lineRule="auto"/>
        <w:ind w:firstLineChars="0"/>
      </w:pPr>
      <w:r>
        <w:t>燃料约束，包括系统、区域、机组（电厂、机组群）燃料约束，指对计划周期内发电总煤耗量的限制，对水电机组，包括上游来水量、下游防洪、下游水电厂发电计划等因素的限制；</w:t>
      </w:r>
    </w:p>
    <w:p>
      <w:pPr>
        <w:pStyle w:val="53"/>
        <w:numPr>
          <w:ilvl w:val="0"/>
          <w:numId w:val="42"/>
        </w:numPr>
        <w:spacing w:line="300" w:lineRule="auto"/>
        <w:ind w:firstLineChars="0"/>
      </w:pPr>
      <w:r>
        <w:t>环保约束，即系统、区域、机组（电厂、机组群）环保约束，指对计划周期内发电环保容量的限制，主要包括火电厂的排放约束、水电的弃水约束、直流输电约束。</w:t>
      </w:r>
    </w:p>
    <w:p>
      <w:pPr>
        <w:pStyle w:val="5"/>
        <w:rPr>
          <w:rFonts w:ascii="Times New Roman" w:hAnsi="Times New Roman"/>
        </w:rPr>
      </w:pPr>
      <w:r>
        <w:rPr>
          <w:rFonts w:ascii="Times New Roman" w:hAnsi="Times New Roman"/>
        </w:rPr>
        <w:t>数据校验与处理</w:t>
      </w:r>
    </w:p>
    <w:p>
      <w:pPr>
        <w:pStyle w:val="53"/>
        <w:numPr>
          <w:ilvl w:val="0"/>
          <w:numId w:val="43"/>
        </w:numPr>
        <w:spacing w:line="300" w:lineRule="auto"/>
        <w:ind w:firstLineChars="0"/>
      </w:pPr>
      <w:r>
        <w:t>对日内市场所需数据进行数据校验和处理，确保数据满足计算要求；</w:t>
      </w:r>
    </w:p>
    <w:p>
      <w:pPr>
        <w:pStyle w:val="53"/>
        <w:numPr>
          <w:ilvl w:val="0"/>
          <w:numId w:val="43"/>
        </w:numPr>
        <w:spacing w:line="300" w:lineRule="auto"/>
        <w:ind w:firstLineChars="0"/>
      </w:pPr>
      <w:r>
        <w:t>具备数据校验功能，支持校验规则的配置和生效设置，包括对各类分项数据的单一合理性验证，以及对各种相互关联数据的相关性验证；</w:t>
      </w:r>
    </w:p>
    <w:p>
      <w:pPr>
        <w:pStyle w:val="53"/>
        <w:numPr>
          <w:ilvl w:val="0"/>
          <w:numId w:val="43"/>
        </w:numPr>
        <w:spacing w:line="300" w:lineRule="auto"/>
        <w:ind w:firstLineChars="0"/>
      </w:pPr>
      <w:r>
        <w:t>具备数据处理功能，支持对</w:t>
      </w:r>
      <w:r>
        <w:rPr>
          <w:rFonts w:hint="eastAsia"/>
        </w:rPr>
        <w:t>日内市场</w:t>
      </w:r>
      <w:r>
        <w:t>出清所使用的系统负荷预测、母线负荷预测、联络线计划、检修计划等数据进行修改维护。</w:t>
      </w:r>
    </w:p>
    <w:p>
      <w:pPr>
        <w:pStyle w:val="5"/>
        <w:rPr>
          <w:rFonts w:ascii="Times New Roman" w:hAnsi="Times New Roman"/>
        </w:rPr>
      </w:pPr>
      <w:r>
        <w:rPr>
          <w:rFonts w:ascii="Times New Roman" w:hAnsi="Times New Roman"/>
        </w:rPr>
        <w:t>日内市场出清</w:t>
      </w:r>
    </w:p>
    <w:p>
      <w:pPr>
        <w:pStyle w:val="53"/>
        <w:numPr>
          <w:ilvl w:val="0"/>
          <w:numId w:val="44"/>
        </w:numPr>
        <w:spacing w:line="300" w:lineRule="auto"/>
        <w:ind w:firstLineChars="0"/>
      </w:pPr>
      <w:r>
        <w:t>支持以安全约束机组组合（SCUC）或安全约束经济调度（SCED）进行优化出清；</w:t>
      </w:r>
    </w:p>
    <w:p>
      <w:pPr>
        <w:pStyle w:val="53"/>
        <w:numPr>
          <w:ilvl w:val="0"/>
          <w:numId w:val="44"/>
        </w:numPr>
        <w:spacing w:line="300" w:lineRule="auto"/>
        <w:ind w:firstLineChars="0"/>
      </w:pPr>
      <w:r>
        <w:rPr>
          <w:rFonts w:hint="eastAsia"/>
        </w:rPr>
        <w:t>支持市场</w:t>
      </w:r>
      <w:r>
        <w:t>规则规定的其它出清模式；</w:t>
      </w:r>
    </w:p>
    <w:p>
      <w:pPr>
        <w:pStyle w:val="53"/>
        <w:numPr>
          <w:ilvl w:val="0"/>
          <w:numId w:val="44"/>
        </w:numPr>
        <w:spacing w:line="300" w:lineRule="auto"/>
        <w:ind w:firstLineChars="0"/>
      </w:pPr>
      <w:r>
        <w:t>支持节点电价（LMP）和分区电价计算功能，并给出LMP的能量价格、阻塞价格、网损价格分量；</w:t>
      </w:r>
    </w:p>
    <w:p>
      <w:pPr>
        <w:pStyle w:val="53"/>
        <w:numPr>
          <w:ilvl w:val="0"/>
          <w:numId w:val="44"/>
        </w:numPr>
        <w:spacing w:line="300" w:lineRule="auto"/>
        <w:ind w:firstLineChars="0"/>
      </w:pPr>
      <w:r>
        <w:t>支持计算覆盖时间范围设置；</w:t>
      </w:r>
    </w:p>
    <w:p>
      <w:pPr>
        <w:pStyle w:val="53"/>
        <w:numPr>
          <w:ilvl w:val="0"/>
          <w:numId w:val="44"/>
        </w:numPr>
        <w:spacing w:line="300" w:lineRule="auto"/>
        <w:ind w:firstLineChars="0"/>
      </w:pPr>
      <w:r>
        <w:t>支持周期自动滚动计算和人工手动触发计算；</w:t>
      </w:r>
    </w:p>
    <w:p>
      <w:pPr>
        <w:pStyle w:val="53"/>
        <w:numPr>
          <w:ilvl w:val="0"/>
          <w:numId w:val="44"/>
        </w:numPr>
        <w:spacing w:line="300" w:lineRule="auto"/>
        <w:ind w:firstLineChars="0"/>
      </w:pPr>
      <w:r>
        <w:t>计算输出结果包括机组开停机组合、出力、价格、总成本、约束是否松弛、计算时间、计算过程日志、安全校核结果等信息；</w:t>
      </w:r>
    </w:p>
    <w:p>
      <w:pPr>
        <w:pStyle w:val="53"/>
        <w:numPr>
          <w:ilvl w:val="0"/>
          <w:numId w:val="44"/>
        </w:numPr>
        <w:spacing w:line="300" w:lineRule="auto"/>
        <w:ind w:firstLineChars="0"/>
      </w:pPr>
      <w:r>
        <w:t>应能与安全校核进行迭代计算，计算结果送安全校核进行交流潮流计算，出现设备或断面越限时，由安全校核反馈越限信息至SCUC或SCED重新进行优化计算，直至生成满足安全约束条件的市场出清结果。</w:t>
      </w:r>
    </w:p>
    <w:p>
      <w:pPr>
        <w:pStyle w:val="5"/>
        <w:rPr>
          <w:rFonts w:ascii="Times New Roman" w:hAnsi="Times New Roman"/>
        </w:rPr>
      </w:pPr>
      <w:r>
        <w:rPr>
          <w:rFonts w:ascii="Times New Roman" w:hAnsi="Times New Roman"/>
        </w:rPr>
        <w:t>市场异常监测</w:t>
      </w:r>
    </w:p>
    <w:p>
      <w:pPr>
        <w:pStyle w:val="53"/>
        <w:numPr>
          <w:ilvl w:val="0"/>
          <w:numId w:val="45"/>
        </w:numPr>
        <w:spacing w:line="300" w:lineRule="auto"/>
        <w:ind w:firstLineChars="0"/>
      </w:pPr>
      <w:r>
        <w:t>支持从价格、出力、断面三个方面对出清结果进行分析；</w:t>
      </w:r>
    </w:p>
    <w:p>
      <w:pPr>
        <w:pStyle w:val="53"/>
        <w:numPr>
          <w:ilvl w:val="0"/>
          <w:numId w:val="45"/>
        </w:numPr>
        <w:spacing w:line="300" w:lineRule="auto"/>
        <w:ind w:firstLineChars="0"/>
      </w:pPr>
      <w:r>
        <w:t>支持节点价格异常监测，设定最高限价，当节点价格超过门槛值时进行告警；</w:t>
      </w:r>
    </w:p>
    <w:p>
      <w:pPr>
        <w:pStyle w:val="53"/>
        <w:numPr>
          <w:ilvl w:val="0"/>
          <w:numId w:val="45"/>
        </w:numPr>
        <w:spacing w:line="300" w:lineRule="auto"/>
        <w:ind w:firstLineChars="0"/>
      </w:pPr>
      <w:r>
        <w:t>支持机组计划异常监测，如果机组出力不在参数限定范围内、系统平衡约束松弛量超过设定值、系统备用需求不满足等情况进行告警；</w:t>
      </w:r>
    </w:p>
    <w:p>
      <w:pPr>
        <w:pStyle w:val="53"/>
        <w:numPr>
          <w:ilvl w:val="0"/>
          <w:numId w:val="45"/>
        </w:numPr>
        <w:spacing w:line="300" w:lineRule="auto"/>
        <w:ind w:firstLineChars="0"/>
      </w:pPr>
      <w:r>
        <w:t>支持断面异常监测，当出清结果在进行交流安全校核时出现断面重载或越限情况时进行告警。</w:t>
      </w:r>
    </w:p>
    <w:p>
      <w:pPr>
        <w:pStyle w:val="5"/>
        <w:rPr>
          <w:rFonts w:ascii="Times New Roman" w:hAnsi="Times New Roman"/>
        </w:rPr>
      </w:pPr>
      <w:r>
        <w:rPr>
          <w:rFonts w:ascii="Times New Roman" w:hAnsi="Times New Roman"/>
        </w:rPr>
        <w:t>市场出清异常处置</w:t>
      </w:r>
    </w:p>
    <w:p>
      <w:pPr>
        <w:spacing w:line="300" w:lineRule="auto"/>
        <w:ind w:firstLine="420"/>
      </w:pPr>
      <w:r>
        <w:t>在规定的时间内日内市场出清无满足约束条件的的出清结果或者市场出清异常，无法满足电网稳定运行安全约束时，由</w:t>
      </w:r>
      <w:r>
        <w:rPr>
          <w:rFonts w:hint="eastAsia"/>
        </w:rPr>
        <w:t>市场运营</w:t>
      </w:r>
      <w:r>
        <w:t>机构进行异常处置，并发布处置后的日内市场交易结果，市场出清异常处置措施包括：</w:t>
      </w:r>
    </w:p>
    <w:p>
      <w:pPr>
        <w:pStyle w:val="53"/>
        <w:numPr>
          <w:ilvl w:val="0"/>
          <w:numId w:val="46"/>
        </w:numPr>
        <w:spacing w:line="300" w:lineRule="auto"/>
        <w:ind w:firstLineChars="0"/>
      </w:pPr>
      <w:r>
        <w:t>修改不能满足的约束条件重新进行市场出清；</w:t>
      </w:r>
    </w:p>
    <w:p>
      <w:pPr>
        <w:pStyle w:val="53"/>
        <w:numPr>
          <w:ilvl w:val="0"/>
          <w:numId w:val="46"/>
        </w:numPr>
        <w:spacing w:line="300" w:lineRule="auto"/>
        <w:ind w:firstLineChars="0"/>
      </w:pPr>
      <w:r>
        <w:t>根据市场规则以前一次市场出清结果或者日前市场交易结果作为日内市场出清结果；</w:t>
      </w:r>
    </w:p>
    <w:p>
      <w:pPr>
        <w:pStyle w:val="53"/>
        <w:numPr>
          <w:ilvl w:val="0"/>
          <w:numId w:val="46"/>
        </w:numPr>
        <w:spacing w:line="300" w:lineRule="auto"/>
        <w:ind w:firstLineChars="0"/>
      </w:pPr>
      <w:r>
        <w:t>其它符合市场规则的市场出清异常处置措施。</w:t>
      </w:r>
    </w:p>
    <w:p>
      <w:pPr>
        <w:pStyle w:val="5"/>
        <w:rPr>
          <w:rFonts w:ascii="Times New Roman" w:hAnsi="Times New Roman"/>
        </w:rPr>
      </w:pPr>
      <w:r>
        <w:rPr>
          <w:rFonts w:ascii="Times New Roman" w:hAnsi="Times New Roman"/>
        </w:rPr>
        <w:t>日内市场结果管理</w:t>
      </w:r>
    </w:p>
    <w:p>
      <w:pPr>
        <w:pStyle w:val="53"/>
        <w:numPr>
          <w:ilvl w:val="0"/>
          <w:numId w:val="47"/>
        </w:numPr>
        <w:spacing w:line="300" w:lineRule="auto"/>
        <w:ind w:firstLineChars="0"/>
      </w:pPr>
      <w:r>
        <w:t>支持机组组合、机组出力、节点价格、分区价格等市场出清结果信息查询与统计；</w:t>
      </w:r>
    </w:p>
    <w:p>
      <w:pPr>
        <w:pStyle w:val="53"/>
        <w:numPr>
          <w:ilvl w:val="0"/>
          <w:numId w:val="47"/>
        </w:numPr>
        <w:spacing w:line="300" w:lineRule="auto"/>
        <w:ind w:firstLineChars="0"/>
      </w:pPr>
      <w:r>
        <w:t>支持设备重载、越限、N-1故障分析等安全校核计算结果信息查询与统计；</w:t>
      </w:r>
    </w:p>
    <w:p>
      <w:pPr>
        <w:pStyle w:val="53"/>
        <w:numPr>
          <w:ilvl w:val="0"/>
          <w:numId w:val="47"/>
        </w:numPr>
        <w:spacing w:line="300" w:lineRule="auto"/>
        <w:ind w:firstLineChars="0"/>
      </w:pPr>
      <w:r>
        <w:t>具备结果自动审批和手动审批功能，支持将机组出力及启停计划、节点电价等市场出清结果提交审批，并记录审批结果；</w:t>
      </w:r>
    </w:p>
    <w:p>
      <w:pPr>
        <w:pStyle w:val="53"/>
        <w:numPr>
          <w:ilvl w:val="0"/>
          <w:numId w:val="47"/>
        </w:numPr>
        <w:spacing w:line="300" w:lineRule="auto"/>
        <w:ind w:firstLineChars="0"/>
      </w:pPr>
      <w:r>
        <w:t>具备结果自动发布和</w:t>
      </w:r>
      <w:r>
        <w:rPr>
          <w:rFonts w:hint="eastAsia"/>
        </w:rPr>
        <w:t>手动</w:t>
      </w:r>
      <w:r>
        <w:t>发布功能，支持将日内市场交易结果分公有信息和私有信息进行发布，信息发布根据数据属性和登录用户角色自动对信息进行分流控制；</w:t>
      </w:r>
    </w:p>
    <w:p>
      <w:pPr>
        <w:pStyle w:val="53"/>
        <w:numPr>
          <w:ilvl w:val="0"/>
          <w:numId w:val="47"/>
        </w:numPr>
        <w:spacing w:line="300" w:lineRule="auto"/>
        <w:ind w:firstLineChars="0"/>
      </w:pPr>
      <w:r>
        <w:t>提供对市场出清结果</w:t>
      </w:r>
      <w:r>
        <w:rPr>
          <w:rFonts w:hint="eastAsia"/>
        </w:rPr>
        <w:t>进行</w:t>
      </w:r>
      <w:r>
        <w:t>人工干预</w:t>
      </w:r>
      <w:r>
        <w:rPr>
          <w:rFonts w:hint="eastAsia"/>
        </w:rPr>
        <w:t>的</w:t>
      </w:r>
      <w:r>
        <w:t>手段；。</w:t>
      </w:r>
    </w:p>
    <w:p>
      <w:pPr>
        <w:pStyle w:val="4"/>
      </w:pPr>
      <w:bookmarkStart w:id="124" w:name="_Toc511389210"/>
      <w:r>
        <w:t>界面要求</w:t>
      </w:r>
      <w:bookmarkEnd w:id="124"/>
    </w:p>
    <w:p>
      <w:pPr>
        <w:pStyle w:val="53"/>
        <w:numPr>
          <w:ilvl w:val="0"/>
          <w:numId w:val="48"/>
        </w:numPr>
        <w:spacing w:line="300" w:lineRule="auto"/>
        <w:ind w:firstLineChars="0"/>
      </w:pPr>
      <w:r>
        <w:t>支持日内市场滚动计算状态</w:t>
      </w:r>
      <w:r>
        <w:rPr>
          <w:rFonts w:hint="eastAsia"/>
        </w:rPr>
        <w:t>监测</w:t>
      </w:r>
      <w:r>
        <w:t>，包括每次执行周期中的当前执行状态、日志信息、异常信息等；</w:t>
      </w:r>
    </w:p>
    <w:p>
      <w:pPr>
        <w:pStyle w:val="53"/>
        <w:numPr>
          <w:ilvl w:val="0"/>
          <w:numId w:val="48"/>
        </w:numPr>
        <w:spacing w:line="300" w:lineRule="auto"/>
        <w:ind w:firstLineChars="0"/>
      </w:pPr>
      <w:r>
        <w:t>支持机组组合状态显示并展示日内机组状态变化及变化时间；</w:t>
      </w:r>
    </w:p>
    <w:p>
      <w:pPr>
        <w:pStyle w:val="53"/>
        <w:numPr>
          <w:ilvl w:val="0"/>
          <w:numId w:val="48"/>
        </w:numPr>
        <w:spacing w:line="300" w:lineRule="auto"/>
        <w:ind w:firstLineChars="0"/>
      </w:pPr>
      <w:r>
        <w:t>支持出清结果与安全校核结果</w:t>
      </w:r>
      <w:r>
        <w:rPr>
          <w:rFonts w:hint="eastAsia"/>
        </w:rPr>
        <w:t>以</w:t>
      </w:r>
      <w:r>
        <w:t>曲线、棒图、饼图、面积堆积图等多种方式展示；</w:t>
      </w:r>
    </w:p>
    <w:p>
      <w:pPr>
        <w:pStyle w:val="53"/>
        <w:numPr>
          <w:ilvl w:val="0"/>
          <w:numId w:val="48"/>
        </w:numPr>
        <w:spacing w:line="300" w:lineRule="auto"/>
        <w:ind w:firstLineChars="0"/>
      </w:pPr>
      <w:r>
        <w:t>支持安全校核断面、变压器、线路设备潮流及关联机组灵敏度信息查看；</w:t>
      </w:r>
    </w:p>
    <w:p>
      <w:pPr>
        <w:pStyle w:val="53"/>
        <w:numPr>
          <w:ilvl w:val="0"/>
          <w:numId w:val="48"/>
        </w:numPr>
        <w:spacing w:line="300" w:lineRule="auto"/>
        <w:ind w:firstLineChars="0"/>
      </w:pPr>
      <w:r>
        <w:t>支持机组出力及出清价格查询及对比展示；</w:t>
      </w:r>
    </w:p>
    <w:p>
      <w:pPr>
        <w:pStyle w:val="53"/>
        <w:numPr>
          <w:ilvl w:val="0"/>
          <w:numId w:val="48"/>
        </w:numPr>
        <w:spacing w:line="300" w:lineRule="auto"/>
        <w:ind w:firstLineChars="0"/>
      </w:pPr>
      <w:r>
        <w:t>支持节点价格及节点所关联的负荷、机组出清结果展示；</w:t>
      </w:r>
    </w:p>
    <w:p>
      <w:pPr>
        <w:pStyle w:val="53"/>
        <w:numPr>
          <w:ilvl w:val="0"/>
          <w:numId w:val="48"/>
        </w:numPr>
        <w:spacing w:line="300" w:lineRule="auto"/>
        <w:ind w:firstLineChars="0"/>
      </w:pPr>
      <w:r>
        <w:t>支持全天范围最高LMP、最低LMP、平均加权LMP曲线展示及系统负荷预测趋势对比展示；</w:t>
      </w:r>
    </w:p>
    <w:p>
      <w:pPr>
        <w:pStyle w:val="53"/>
        <w:numPr>
          <w:ilvl w:val="0"/>
          <w:numId w:val="48"/>
        </w:numPr>
        <w:spacing w:line="300" w:lineRule="auto"/>
        <w:ind w:firstLineChars="0"/>
      </w:pPr>
      <w:r>
        <w:t>支持所有设备（线路、变压器绕组、断面）的安全校核详细潮流及相关发电机组灵敏度信息查询展示；</w:t>
      </w:r>
    </w:p>
    <w:p>
      <w:pPr>
        <w:pStyle w:val="53"/>
        <w:numPr>
          <w:ilvl w:val="0"/>
          <w:numId w:val="48"/>
        </w:numPr>
        <w:spacing w:line="300" w:lineRule="auto"/>
        <w:ind w:firstLineChars="0"/>
      </w:pPr>
      <w:r>
        <w:t>支持安全校核计算出的设备重载、越限、N-1故障信息查询分析展示，包括但不限于：</w:t>
      </w:r>
    </w:p>
    <w:p>
      <w:pPr>
        <w:pStyle w:val="53"/>
        <w:numPr>
          <w:ilvl w:val="0"/>
          <w:numId w:val="49"/>
        </w:numPr>
        <w:spacing w:line="300" w:lineRule="auto"/>
        <w:ind w:firstLineChars="0"/>
      </w:pPr>
      <w:r>
        <w:t>支持汇总展示安全校核计算结果的重载、越限、N-1越限的时段数、设备数等信息；</w:t>
      </w:r>
    </w:p>
    <w:p>
      <w:pPr>
        <w:pStyle w:val="53"/>
        <w:numPr>
          <w:ilvl w:val="0"/>
          <w:numId w:val="49"/>
        </w:numPr>
        <w:spacing w:line="300" w:lineRule="auto"/>
        <w:ind w:firstLineChars="0"/>
      </w:pPr>
      <w:r>
        <w:t>支持展示单个设备在安全校核计算中出现重载、越限和预想故障越限的时段数目，显示其各时段的计划潮流；</w:t>
      </w:r>
    </w:p>
    <w:p>
      <w:pPr>
        <w:pStyle w:val="53"/>
        <w:numPr>
          <w:ilvl w:val="0"/>
          <w:numId w:val="49"/>
        </w:numPr>
        <w:spacing w:line="300" w:lineRule="auto"/>
        <w:ind w:firstLineChars="0"/>
      </w:pPr>
      <w:r>
        <w:t>支持从时间维展示安全校核计算中出现重载、基态越限和预想故障越限的时段，能够任意选择某个时段展示计划模式下的潮流和校核结果，能够展示各时段出现重载和越限的元件个数；</w:t>
      </w:r>
    </w:p>
    <w:p>
      <w:pPr>
        <w:pStyle w:val="53"/>
        <w:numPr>
          <w:ilvl w:val="0"/>
          <w:numId w:val="49"/>
        </w:numPr>
        <w:spacing w:line="300" w:lineRule="auto"/>
        <w:ind w:firstLineChars="0"/>
      </w:pPr>
      <w:r>
        <w:t>支持从预想故障维显示在某一预想故障情况下出现重载和越限的时段个数，以及某时段越限最为严重的设备名称及计划潮流。</w:t>
      </w:r>
    </w:p>
    <w:p>
      <w:pPr>
        <w:pStyle w:val="4"/>
      </w:pPr>
      <w:bookmarkStart w:id="125" w:name="_Toc511389211"/>
      <w:r>
        <w:t>接口要求</w:t>
      </w:r>
      <w:bookmarkEnd w:id="125"/>
    </w:p>
    <w:p>
      <w:pPr>
        <w:pStyle w:val="5"/>
        <w:rPr>
          <w:rFonts w:ascii="Times New Roman" w:hAnsi="Times New Roman"/>
        </w:rPr>
      </w:pPr>
      <w:r>
        <w:rPr>
          <w:rFonts w:ascii="Times New Roman" w:hAnsi="Times New Roman"/>
        </w:rPr>
        <w:t>数据输入</w:t>
      </w:r>
    </w:p>
    <w:p>
      <w:pPr>
        <w:pStyle w:val="53"/>
        <w:numPr>
          <w:ilvl w:val="0"/>
          <w:numId w:val="50"/>
        </w:numPr>
        <w:spacing w:line="300" w:lineRule="auto"/>
        <w:ind w:firstLineChars="0"/>
      </w:pPr>
      <w:r>
        <w:t>来自EMS系统的电网模型、限额信息、故障信息；</w:t>
      </w:r>
    </w:p>
    <w:p>
      <w:pPr>
        <w:pStyle w:val="53"/>
        <w:numPr>
          <w:ilvl w:val="0"/>
          <w:numId w:val="50"/>
        </w:numPr>
        <w:spacing w:line="300" w:lineRule="auto"/>
        <w:ind w:firstLineChars="0"/>
      </w:pPr>
      <w:r>
        <w:t>来自EMS系统的状态估计信息；</w:t>
      </w:r>
    </w:p>
    <w:p>
      <w:pPr>
        <w:pStyle w:val="53"/>
        <w:numPr>
          <w:ilvl w:val="0"/>
          <w:numId w:val="50"/>
        </w:numPr>
        <w:spacing w:line="300" w:lineRule="auto"/>
        <w:ind w:firstLineChars="0"/>
      </w:pPr>
      <w:r>
        <w:t>来自EMS系统、OMS系统计算周期范围内的超短期系统负荷预测、超短期母线负荷预测、最新联络线计划、临时检修计划、可再生能源发电预测等信息；</w:t>
      </w:r>
    </w:p>
    <w:p>
      <w:pPr>
        <w:pStyle w:val="53"/>
        <w:numPr>
          <w:ilvl w:val="0"/>
          <w:numId w:val="50"/>
        </w:numPr>
        <w:spacing w:line="300" w:lineRule="auto"/>
        <w:ind w:firstLineChars="0"/>
      </w:pPr>
      <w:r>
        <w:t>来自市场申报的市场报价、计划电量、计划出力建议、临时出力限额等信息；</w:t>
      </w:r>
    </w:p>
    <w:p>
      <w:pPr>
        <w:pStyle w:val="53"/>
        <w:numPr>
          <w:ilvl w:val="0"/>
          <w:numId w:val="50"/>
        </w:numPr>
        <w:spacing w:line="300" w:lineRule="auto"/>
        <w:ind w:firstLineChars="0"/>
      </w:pPr>
      <w:r>
        <w:t>来自市场模型的机组出力上下限、爬坡速率、AGC调节速率、最小开停机时间、开停机次数、启停磨、振动区等信息；</w:t>
      </w:r>
    </w:p>
    <w:p>
      <w:pPr>
        <w:pStyle w:val="53"/>
        <w:numPr>
          <w:ilvl w:val="0"/>
          <w:numId w:val="50"/>
        </w:numPr>
        <w:spacing w:line="300" w:lineRule="auto"/>
        <w:ind w:firstLineChars="0"/>
      </w:pPr>
      <w:r>
        <w:t>来自安全校核的灵敏度信息；</w:t>
      </w:r>
    </w:p>
    <w:p>
      <w:pPr>
        <w:pStyle w:val="62"/>
        <w:numPr>
          <w:ilvl w:val="0"/>
          <w:numId w:val="50"/>
        </w:numPr>
        <w:spacing w:line="300" w:lineRule="auto"/>
        <w:ind w:firstLineChars="0"/>
      </w:pPr>
      <w:r>
        <w:t>日前市场出清结果。</w:t>
      </w:r>
    </w:p>
    <w:p>
      <w:pPr>
        <w:pStyle w:val="5"/>
        <w:rPr>
          <w:rFonts w:ascii="Times New Roman" w:hAnsi="Times New Roman"/>
        </w:rPr>
      </w:pPr>
      <w:r>
        <w:rPr>
          <w:rFonts w:ascii="Times New Roman" w:hAnsi="Times New Roman"/>
        </w:rPr>
        <w:t>数据输出</w:t>
      </w:r>
    </w:p>
    <w:p>
      <w:pPr>
        <w:spacing w:line="300" w:lineRule="auto"/>
        <w:ind w:firstLine="480"/>
      </w:pPr>
      <w:r>
        <w:t>机组开停机组合、机组出力、节点价格、分区价格、安全校核结果。</w:t>
      </w:r>
    </w:p>
    <w:p/>
    <w:p>
      <w:pPr>
        <w:pStyle w:val="3"/>
      </w:pPr>
      <w:bookmarkStart w:id="126" w:name="_Toc511389212"/>
      <w:r>
        <w:t>平衡机制</w:t>
      </w:r>
      <w:bookmarkEnd w:id="126"/>
    </w:p>
    <w:p>
      <w:pPr>
        <w:spacing w:line="300" w:lineRule="auto"/>
        <w:ind w:firstLine="480"/>
      </w:pPr>
      <w:r>
        <w:t>平衡机制根据系统实际运行情况、最新负荷预测需求和平衡机制上调/下调报价，采用安全约束经济调度（SCED）</w:t>
      </w:r>
      <w:r>
        <w:rPr>
          <w:rFonts w:hint="eastAsia"/>
        </w:rPr>
        <w:t>或</w:t>
      </w:r>
      <w:r>
        <w:t>市场规则规定的</w:t>
      </w:r>
      <w:r>
        <w:rPr>
          <w:rFonts w:hint="eastAsia"/>
        </w:rPr>
        <w:t>其它</w:t>
      </w:r>
      <w:r>
        <w:t>机制，每15分钟（时间可设置）滚动计算未来15分钟至1小时（时间可设置）的市场出清结果，市场出清结果送到EMS系统进行控制执行。支持5分钟或15分钟交易周期。</w:t>
      </w:r>
    </w:p>
    <w:p>
      <w:pPr>
        <w:pStyle w:val="4"/>
      </w:pPr>
      <w:bookmarkStart w:id="127" w:name="_Toc511389213"/>
      <w:r>
        <w:t>功能要求</w:t>
      </w:r>
      <w:bookmarkEnd w:id="127"/>
    </w:p>
    <w:p>
      <w:pPr>
        <w:pStyle w:val="5"/>
        <w:rPr>
          <w:rFonts w:ascii="Times New Roman" w:hAnsi="Times New Roman"/>
          <w:b/>
          <w:szCs w:val="21"/>
        </w:rPr>
      </w:pPr>
      <w:r>
        <w:rPr>
          <w:rFonts w:ascii="Times New Roman" w:hAnsi="Times New Roman"/>
        </w:rPr>
        <w:t>约束条件管理</w:t>
      </w:r>
    </w:p>
    <w:p>
      <w:pPr>
        <w:spacing w:line="300" w:lineRule="auto"/>
        <w:ind w:firstLine="480"/>
      </w:pPr>
      <w:r>
        <w:t>满足机组约束</w:t>
      </w:r>
      <w:r>
        <w:rPr>
          <w:rFonts w:hint="eastAsia"/>
        </w:rPr>
        <w:t>、</w:t>
      </w:r>
      <w:r>
        <w:t>系统平衡约束</w:t>
      </w:r>
      <w:r>
        <w:rPr>
          <w:rFonts w:hint="eastAsia"/>
        </w:rPr>
        <w:t>、</w:t>
      </w:r>
      <w:r>
        <w:t>网络约束等约束条件，各约束条件可以灵活进行参数配置和生效设置。</w:t>
      </w:r>
    </w:p>
    <w:p>
      <w:pPr>
        <w:spacing w:line="300" w:lineRule="auto"/>
        <w:ind w:firstLine="480"/>
      </w:pPr>
      <w:r>
        <w:t>机组约束包括但不限于：</w:t>
      </w:r>
    </w:p>
    <w:p>
      <w:pPr>
        <w:pStyle w:val="53"/>
        <w:numPr>
          <w:ilvl w:val="0"/>
          <w:numId w:val="51"/>
        </w:numPr>
        <w:spacing w:line="300" w:lineRule="auto"/>
        <w:ind w:firstLineChars="0"/>
      </w:pPr>
      <w:r>
        <w:t>机组（机组群）可调出力约束，包括机组（机组群）出力上限约束、出力下限约束，支持每个时段设定不同的上下限值；</w:t>
      </w:r>
    </w:p>
    <w:p>
      <w:pPr>
        <w:pStyle w:val="53"/>
        <w:numPr>
          <w:ilvl w:val="0"/>
          <w:numId w:val="51"/>
        </w:numPr>
        <w:spacing w:line="300" w:lineRule="auto"/>
        <w:ind w:firstLineChars="0"/>
      </w:pPr>
      <w:r>
        <w:t>机组爬坡速率约束，包括机组升出力速率约束和降出力速率约束；</w:t>
      </w:r>
    </w:p>
    <w:p>
      <w:pPr>
        <w:pStyle w:val="53"/>
        <w:numPr>
          <w:ilvl w:val="0"/>
          <w:numId w:val="51"/>
        </w:numPr>
        <w:spacing w:line="300" w:lineRule="auto"/>
        <w:ind w:firstLineChars="0"/>
      </w:pPr>
      <w:r>
        <w:t>机组启停出力曲线约束，包括机组开机过程曲线和停机过程曲线约束；</w:t>
      </w:r>
    </w:p>
    <w:p>
      <w:pPr>
        <w:pStyle w:val="53"/>
        <w:numPr>
          <w:ilvl w:val="0"/>
          <w:numId w:val="51"/>
        </w:numPr>
        <w:spacing w:line="300" w:lineRule="auto"/>
        <w:ind w:firstLineChars="0"/>
      </w:pPr>
      <w:r>
        <w:t>固定计划约束，支持机组和电厂（机组群）固定计划设置；</w:t>
      </w:r>
    </w:p>
    <w:p>
      <w:pPr>
        <w:pStyle w:val="53"/>
        <w:numPr>
          <w:ilvl w:val="0"/>
          <w:numId w:val="51"/>
        </w:numPr>
        <w:spacing w:line="300" w:lineRule="auto"/>
        <w:ind w:firstLineChars="0"/>
      </w:pPr>
      <w:r>
        <w:t>电量约束，支持机组和电厂（机组群）日发电量约束的设置；</w:t>
      </w:r>
    </w:p>
    <w:p>
      <w:pPr>
        <w:pStyle w:val="53"/>
        <w:numPr>
          <w:ilvl w:val="0"/>
          <w:numId w:val="51"/>
        </w:numPr>
        <w:spacing w:line="300" w:lineRule="auto"/>
        <w:ind w:firstLineChars="0"/>
      </w:pPr>
      <w:r>
        <w:t>机组（机组群）备用约束，支持设置机组（机组群）正负旋转备用、AGC备用设置；</w:t>
      </w:r>
    </w:p>
    <w:p>
      <w:pPr>
        <w:pStyle w:val="53"/>
        <w:numPr>
          <w:ilvl w:val="0"/>
          <w:numId w:val="51"/>
        </w:numPr>
        <w:spacing w:line="300" w:lineRule="auto"/>
        <w:ind w:firstLineChars="0"/>
      </w:pPr>
      <w:r>
        <w:t>机组启停磨约束设置，支持设置机组启停磨出力区间；</w:t>
      </w:r>
    </w:p>
    <w:p>
      <w:pPr>
        <w:pStyle w:val="53"/>
        <w:numPr>
          <w:ilvl w:val="0"/>
          <w:numId w:val="51"/>
        </w:numPr>
        <w:spacing w:line="300" w:lineRule="auto"/>
        <w:ind w:firstLineChars="0"/>
      </w:pPr>
      <w:r>
        <w:t>水电机组振动区设置，支持设置水电机组振动区出力区间；</w:t>
      </w:r>
    </w:p>
    <w:p>
      <w:pPr>
        <w:pStyle w:val="53"/>
        <w:numPr>
          <w:ilvl w:val="0"/>
          <w:numId w:val="51"/>
        </w:numPr>
        <w:spacing w:line="300" w:lineRule="auto"/>
        <w:ind w:firstLineChars="0"/>
      </w:pPr>
      <w:r>
        <w:t>环保排放限值约束，支持机组和电厂（机组群）污染物排放约束的设置，污染物类型支持二氧化硫、氮氧化物、烟尘和二氧化碳等。</w:t>
      </w:r>
    </w:p>
    <w:p>
      <w:pPr>
        <w:spacing w:line="300" w:lineRule="auto"/>
        <w:ind w:firstLine="480"/>
      </w:pPr>
      <w:r>
        <w:t>系统平衡约束包括但不限于：</w:t>
      </w:r>
    </w:p>
    <w:p>
      <w:pPr>
        <w:pStyle w:val="53"/>
        <w:numPr>
          <w:ilvl w:val="0"/>
          <w:numId w:val="52"/>
        </w:numPr>
        <w:spacing w:line="300" w:lineRule="auto"/>
        <w:ind w:firstLineChars="0"/>
      </w:pPr>
      <w:r>
        <w:t>功率平衡约束，要求满足系统各个时段用电需求、交换计划和发电计划保持功率平衡；</w:t>
      </w:r>
    </w:p>
    <w:p>
      <w:pPr>
        <w:pStyle w:val="53"/>
        <w:numPr>
          <w:ilvl w:val="0"/>
          <w:numId w:val="52"/>
        </w:numPr>
        <w:spacing w:line="300" w:lineRule="auto"/>
        <w:ind w:firstLineChars="0"/>
      </w:pPr>
      <w:r>
        <w:t>系统备用约束，支持系统备用容量（比例）设定，要求机组出力计划满足系统调节备用要求；</w:t>
      </w:r>
    </w:p>
    <w:p>
      <w:pPr>
        <w:pStyle w:val="53"/>
        <w:numPr>
          <w:ilvl w:val="0"/>
          <w:numId w:val="52"/>
        </w:numPr>
        <w:spacing w:line="300" w:lineRule="auto"/>
        <w:ind w:firstLineChars="0"/>
      </w:pPr>
      <w:r>
        <w:t>分区备用约束，支持分区设置和分区备用容量（比例）设定，要求各分区机组出力计划满足各分区备用要求；</w:t>
      </w:r>
    </w:p>
    <w:p>
      <w:pPr>
        <w:spacing w:line="300" w:lineRule="auto"/>
        <w:ind w:firstLine="480"/>
      </w:pPr>
      <w:r>
        <w:t>网络约束包括但不限于：</w:t>
      </w:r>
    </w:p>
    <w:p>
      <w:pPr>
        <w:pStyle w:val="53"/>
        <w:numPr>
          <w:ilvl w:val="0"/>
          <w:numId w:val="53"/>
        </w:numPr>
        <w:spacing w:line="300" w:lineRule="auto"/>
        <w:ind w:firstLineChars="0"/>
      </w:pPr>
      <w:r>
        <w:t>断面限额约束，包括线路断面、主变断面的有功限额；</w:t>
      </w:r>
    </w:p>
    <w:p>
      <w:pPr>
        <w:pStyle w:val="53"/>
        <w:numPr>
          <w:ilvl w:val="0"/>
          <w:numId w:val="53"/>
        </w:numPr>
        <w:spacing w:line="300" w:lineRule="auto"/>
        <w:ind w:firstLineChars="0"/>
      </w:pPr>
      <w:r>
        <w:t>单元件热稳极限约束，包括线路、主变热稳限额；</w:t>
      </w:r>
    </w:p>
    <w:p>
      <w:pPr>
        <w:pStyle w:val="53"/>
        <w:numPr>
          <w:ilvl w:val="0"/>
          <w:numId w:val="53"/>
        </w:numPr>
        <w:spacing w:line="300" w:lineRule="auto"/>
        <w:ind w:firstLineChars="0"/>
      </w:pPr>
      <w:r>
        <w:t>关键输电元件N-1、预想故障集约束等。</w:t>
      </w:r>
    </w:p>
    <w:p>
      <w:pPr>
        <w:spacing w:line="300" w:lineRule="auto"/>
        <w:ind w:firstLine="480"/>
      </w:pPr>
      <w:r>
        <w:t>其它约束包括但不限于：</w:t>
      </w:r>
    </w:p>
    <w:p>
      <w:pPr>
        <w:pStyle w:val="53"/>
        <w:numPr>
          <w:ilvl w:val="0"/>
          <w:numId w:val="54"/>
        </w:numPr>
        <w:spacing w:line="300" w:lineRule="auto"/>
        <w:ind w:firstLineChars="0"/>
      </w:pPr>
      <w:r>
        <w:t>燃料约束，即系统、区域、机组（电厂、机组群）燃料约束，指对计划周期内发电总煤耗量的限制，对水电机组，包括实时的上游来水量、下游防洪、下游水电厂发电情况等因素的限制；</w:t>
      </w:r>
    </w:p>
    <w:p>
      <w:pPr>
        <w:pStyle w:val="53"/>
        <w:numPr>
          <w:ilvl w:val="0"/>
          <w:numId w:val="54"/>
        </w:numPr>
        <w:spacing w:line="300" w:lineRule="auto"/>
        <w:ind w:firstLineChars="0"/>
      </w:pPr>
      <w:r>
        <w:t>环保约束，即系统、区域、机组（电厂、机组群）环保约束，指对计划周期内发电环保容量的限制，主要包括火电厂的排放约束、水电的弃水约束、直流输电约束。</w:t>
      </w:r>
    </w:p>
    <w:p>
      <w:pPr>
        <w:pStyle w:val="5"/>
        <w:rPr>
          <w:rFonts w:ascii="Times New Roman" w:hAnsi="Times New Roman"/>
        </w:rPr>
      </w:pPr>
      <w:r>
        <w:rPr>
          <w:rFonts w:ascii="Times New Roman" w:hAnsi="Times New Roman"/>
        </w:rPr>
        <w:t>数据校验与处理</w:t>
      </w:r>
    </w:p>
    <w:p>
      <w:pPr>
        <w:pStyle w:val="53"/>
        <w:numPr>
          <w:ilvl w:val="0"/>
          <w:numId w:val="55"/>
        </w:numPr>
        <w:spacing w:line="300" w:lineRule="auto"/>
        <w:ind w:firstLineChars="0"/>
      </w:pPr>
      <w:r>
        <w:t>支持对平衡机制所需数据进行数据校验和处理，确保数据满足计算要求；</w:t>
      </w:r>
    </w:p>
    <w:p>
      <w:pPr>
        <w:pStyle w:val="53"/>
        <w:numPr>
          <w:ilvl w:val="0"/>
          <w:numId w:val="55"/>
        </w:numPr>
        <w:spacing w:line="300" w:lineRule="auto"/>
        <w:ind w:firstLineChars="0"/>
      </w:pPr>
      <w:r>
        <w:t>支持数据校验功能，支持校验规则的配置和生效设置，包括对各类分项数据的单一合理性验证，以及对各种相互关联数据的相关性验证；</w:t>
      </w:r>
    </w:p>
    <w:p>
      <w:pPr>
        <w:pStyle w:val="53"/>
        <w:numPr>
          <w:ilvl w:val="0"/>
          <w:numId w:val="55"/>
        </w:numPr>
        <w:spacing w:line="300" w:lineRule="auto"/>
        <w:ind w:firstLineChars="0"/>
      </w:pPr>
      <w:r>
        <w:t>支持数据处理功能，支持对</w:t>
      </w:r>
      <w:r>
        <w:rPr>
          <w:rFonts w:hint="eastAsia"/>
        </w:rPr>
        <w:t>平衡</w:t>
      </w:r>
      <w:r>
        <w:t>机制出清所使用的系统负荷预测、母线负荷预测、联络线计划、检修计划等数据进行修改维护。</w:t>
      </w:r>
    </w:p>
    <w:p>
      <w:pPr>
        <w:pStyle w:val="5"/>
        <w:rPr>
          <w:rFonts w:ascii="Times New Roman" w:hAnsi="Times New Roman"/>
        </w:rPr>
      </w:pPr>
      <w:r>
        <w:rPr>
          <w:rFonts w:ascii="Times New Roman" w:hAnsi="Times New Roman"/>
        </w:rPr>
        <w:t>平衡机制出清</w:t>
      </w:r>
    </w:p>
    <w:p>
      <w:pPr>
        <w:pStyle w:val="53"/>
        <w:numPr>
          <w:ilvl w:val="0"/>
          <w:numId w:val="56"/>
        </w:numPr>
        <w:spacing w:line="300" w:lineRule="auto"/>
        <w:ind w:firstLineChars="0"/>
      </w:pPr>
      <w:r>
        <w:t>支持以安全约束经济调度（SCED）进行优化出清；</w:t>
      </w:r>
    </w:p>
    <w:p>
      <w:pPr>
        <w:pStyle w:val="53"/>
        <w:numPr>
          <w:ilvl w:val="0"/>
          <w:numId w:val="56"/>
        </w:numPr>
        <w:spacing w:line="300" w:lineRule="auto"/>
        <w:ind w:firstLineChars="0"/>
      </w:pPr>
      <w:r>
        <w:rPr>
          <w:rFonts w:hint="eastAsia"/>
        </w:rPr>
        <w:t>支持以</w:t>
      </w:r>
      <w:r>
        <w:t>市场规则规定的其它机制出清；</w:t>
      </w:r>
    </w:p>
    <w:p>
      <w:pPr>
        <w:pStyle w:val="53"/>
        <w:numPr>
          <w:ilvl w:val="0"/>
          <w:numId w:val="56"/>
        </w:numPr>
        <w:spacing w:line="300" w:lineRule="auto"/>
        <w:ind w:firstLineChars="0"/>
      </w:pPr>
      <w:r>
        <w:t>具备节点电价（LMP）和分区电价计算功能，并给出LMP的能量价格、阻塞价格、网损价格分量；</w:t>
      </w:r>
    </w:p>
    <w:p>
      <w:pPr>
        <w:pStyle w:val="53"/>
        <w:numPr>
          <w:ilvl w:val="0"/>
          <w:numId w:val="56"/>
        </w:numPr>
        <w:spacing w:line="300" w:lineRule="auto"/>
        <w:ind w:firstLineChars="0"/>
      </w:pPr>
      <w:r>
        <w:t>能够根据约束条件设置综合考虑各种约束条件；</w:t>
      </w:r>
    </w:p>
    <w:p>
      <w:pPr>
        <w:pStyle w:val="53"/>
        <w:numPr>
          <w:ilvl w:val="0"/>
          <w:numId w:val="56"/>
        </w:numPr>
        <w:spacing w:line="300" w:lineRule="auto"/>
        <w:ind w:firstLineChars="0"/>
      </w:pPr>
      <w:r>
        <w:t>支持计算覆盖时间范围设置；</w:t>
      </w:r>
    </w:p>
    <w:p>
      <w:pPr>
        <w:pStyle w:val="53"/>
        <w:numPr>
          <w:ilvl w:val="0"/>
          <w:numId w:val="56"/>
        </w:numPr>
        <w:spacing w:line="300" w:lineRule="auto"/>
        <w:ind w:firstLineChars="0"/>
      </w:pPr>
      <w:r>
        <w:t>支持周期自动滚动计算和人工手动触发计算；</w:t>
      </w:r>
    </w:p>
    <w:p>
      <w:pPr>
        <w:pStyle w:val="53"/>
        <w:numPr>
          <w:ilvl w:val="0"/>
          <w:numId w:val="56"/>
        </w:numPr>
        <w:spacing w:line="300" w:lineRule="auto"/>
        <w:ind w:firstLineChars="0"/>
      </w:pPr>
      <w:r>
        <w:t>计算输出结果包括机组出力、价格、总成本、约束是否松弛、计算时间、计算过程日志、安全校核结果等信息；</w:t>
      </w:r>
    </w:p>
    <w:p>
      <w:pPr>
        <w:pStyle w:val="53"/>
        <w:numPr>
          <w:ilvl w:val="0"/>
          <w:numId w:val="56"/>
        </w:numPr>
        <w:spacing w:line="300" w:lineRule="auto"/>
        <w:ind w:firstLineChars="0"/>
      </w:pPr>
      <w:r>
        <w:t>应能与安全校核进行迭代计算，计算结果送安全校核进行交流潮流计算，出现设备或断面越限时，由安全校核反馈越限信息至SCED重新进行优化计算，直至生成满足安全约束条件的市场出清结果。</w:t>
      </w:r>
    </w:p>
    <w:p>
      <w:pPr>
        <w:pStyle w:val="5"/>
        <w:rPr>
          <w:rFonts w:ascii="Times New Roman" w:hAnsi="Times New Roman"/>
        </w:rPr>
      </w:pPr>
      <w:r>
        <w:rPr>
          <w:rFonts w:ascii="Times New Roman" w:hAnsi="Times New Roman"/>
        </w:rPr>
        <w:t>市场异常监测</w:t>
      </w:r>
    </w:p>
    <w:p>
      <w:pPr>
        <w:spacing w:line="300" w:lineRule="auto"/>
        <w:ind w:firstLine="480"/>
      </w:pPr>
      <w:r>
        <w:t>从价格、出力、断面三个方面对出清结果进行分析：</w:t>
      </w:r>
    </w:p>
    <w:p>
      <w:pPr>
        <w:pStyle w:val="53"/>
        <w:numPr>
          <w:ilvl w:val="0"/>
          <w:numId w:val="57"/>
        </w:numPr>
        <w:spacing w:line="300" w:lineRule="auto"/>
        <w:ind w:firstLineChars="0"/>
      </w:pPr>
      <w:r>
        <w:t>支持节点价格异常监测，设定最高限价，当节点价格超过门槛值时进行告警；</w:t>
      </w:r>
    </w:p>
    <w:p>
      <w:pPr>
        <w:pStyle w:val="53"/>
        <w:numPr>
          <w:ilvl w:val="0"/>
          <w:numId w:val="57"/>
        </w:numPr>
        <w:spacing w:line="300" w:lineRule="auto"/>
        <w:ind w:firstLineChars="0"/>
      </w:pPr>
      <w:r>
        <w:t>支持机组计划异常监测，如果机组出力不在参数限定范围内、系统平衡约束松弛量超过设定值、系统备用需求不满足等情况进行告警；</w:t>
      </w:r>
    </w:p>
    <w:p>
      <w:pPr>
        <w:pStyle w:val="53"/>
        <w:numPr>
          <w:ilvl w:val="0"/>
          <w:numId w:val="57"/>
        </w:numPr>
        <w:spacing w:line="300" w:lineRule="auto"/>
        <w:ind w:firstLineChars="0"/>
      </w:pPr>
      <w:r>
        <w:t>支持断面重载监测，当出清结果在进行交流安全校核时出现断面重载或越限情况时进行告警。</w:t>
      </w:r>
    </w:p>
    <w:p>
      <w:pPr>
        <w:pStyle w:val="5"/>
        <w:rPr>
          <w:rFonts w:ascii="Times New Roman" w:hAnsi="Times New Roman"/>
        </w:rPr>
      </w:pPr>
      <w:r>
        <w:rPr>
          <w:rFonts w:ascii="Times New Roman" w:hAnsi="Times New Roman"/>
        </w:rPr>
        <w:t>市场出清异常处置</w:t>
      </w:r>
    </w:p>
    <w:p>
      <w:pPr>
        <w:spacing w:line="300" w:lineRule="auto"/>
        <w:ind w:firstLine="420"/>
      </w:pPr>
      <w:r>
        <w:t>在规定的时间内平衡机制出清无满足约束条件的的出清结果或者市场出清异常，无法满足电网稳定运行安全约束时，由</w:t>
      </w:r>
      <w:r>
        <w:rPr>
          <w:rFonts w:hint="eastAsia"/>
        </w:rPr>
        <w:t>市场运营</w:t>
      </w:r>
      <w:r>
        <w:t>机构进行异常处置，并发布处置后的平衡机制交易结果，市场出清异常处置措施包括：</w:t>
      </w:r>
    </w:p>
    <w:p>
      <w:pPr>
        <w:pStyle w:val="53"/>
        <w:numPr>
          <w:ilvl w:val="0"/>
          <w:numId w:val="58"/>
        </w:numPr>
        <w:spacing w:line="300" w:lineRule="auto"/>
        <w:ind w:firstLineChars="0"/>
      </w:pPr>
      <w:r>
        <w:t>修改不能满足的约束条件重新进行市场出清；</w:t>
      </w:r>
    </w:p>
    <w:p>
      <w:pPr>
        <w:pStyle w:val="53"/>
        <w:numPr>
          <w:ilvl w:val="0"/>
          <w:numId w:val="58"/>
        </w:numPr>
        <w:spacing w:line="300" w:lineRule="auto"/>
        <w:ind w:firstLineChars="0"/>
      </w:pPr>
      <w:r>
        <w:t>根据市场规则以前一次平衡机制出清结果、日前或者日内市场出清结果作为</w:t>
      </w:r>
      <w:r>
        <w:rPr>
          <w:rFonts w:hint="eastAsia"/>
        </w:rPr>
        <w:t>平衡机制</w:t>
      </w:r>
      <w:r>
        <w:t>出清结果；</w:t>
      </w:r>
    </w:p>
    <w:p>
      <w:pPr>
        <w:pStyle w:val="53"/>
        <w:numPr>
          <w:ilvl w:val="0"/>
          <w:numId w:val="58"/>
        </w:numPr>
        <w:spacing w:line="300" w:lineRule="auto"/>
        <w:ind w:firstLineChars="0"/>
      </w:pPr>
      <w:r>
        <w:t>其它符合市场规则的市场出清异常处置措施。</w:t>
      </w:r>
    </w:p>
    <w:p>
      <w:pPr>
        <w:pStyle w:val="5"/>
        <w:rPr>
          <w:rFonts w:ascii="Times New Roman" w:hAnsi="Times New Roman"/>
        </w:rPr>
      </w:pPr>
      <w:r>
        <w:rPr>
          <w:rFonts w:ascii="Times New Roman" w:hAnsi="Times New Roman"/>
        </w:rPr>
        <w:t>平衡机制结果管理</w:t>
      </w:r>
    </w:p>
    <w:p>
      <w:pPr>
        <w:pStyle w:val="53"/>
        <w:numPr>
          <w:ilvl w:val="0"/>
          <w:numId w:val="59"/>
        </w:numPr>
        <w:spacing w:line="300" w:lineRule="auto"/>
        <w:ind w:firstLineChars="0"/>
      </w:pPr>
      <w:r>
        <w:t>具备机组出力、节点价格、分区价格等市场出清结果信息查询与统计；</w:t>
      </w:r>
    </w:p>
    <w:p>
      <w:pPr>
        <w:pStyle w:val="53"/>
        <w:numPr>
          <w:ilvl w:val="0"/>
          <w:numId w:val="59"/>
        </w:numPr>
        <w:spacing w:line="300" w:lineRule="auto"/>
        <w:ind w:firstLineChars="0"/>
      </w:pPr>
      <w:r>
        <w:t>具备设备重载、越限、N-1故障分析等安全校核计算结果信息查询与统计；</w:t>
      </w:r>
    </w:p>
    <w:p>
      <w:pPr>
        <w:pStyle w:val="53"/>
        <w:numPr>
          <w:ilvl w:val="0"/>
          <w:numId w:val="59"/>
        </w:numPr>
        <w:spacing w:line="300" w:lineRule="auto"/>
        <w:ind w:firstLineChars="0"/>
      </w:pPr>
      <w:r>
        <w:t>提供对市场出清结果</w:t>
      </w:r>
      <w:r>
        <w:rPr>
          <w:rFonts w:hint="eastAsia"/>
        </w:rPr>
        <w:t>进行</w:t>
      </w:r>
      <w:r>
        <w:t>人工干预</w:t>
      </w:r>
      <w:r>
        <w:rPr>
          <w:rFonts w:hint="eastAsia"/>
        </w:rPr>
        <w:t>的</w:t>
      </w:r>
      <w:r>
        <w:t>手段；</w:t>
      </w:r>
    </w:p>
    <w:p>
      <w:pPr>
        <w:pStyle w:val="53"/>
        <w:numPr>
          <w:ilvl w:val="0"/>
          <w:numId w:val="59"/>
        </w:numPr>
        <w:spacing w:line="300" w:lineRule="auto"/>
        <w:ind w:firstLineChars="0"/>
      </w:pPr>
      <w:r>
        <w:t>具备结果自动审批和手动审批功能，支持将机组出力、节点电价等市场出清结果提交审批，并记录审批结果；</w:t>
      </w:r>
    </w:p>
    <w:p>
      <w:pPr>
        <w:pStyle w:val="53"/>
        <w:numPr>
          <w:ilvl w:val="0"/>
          <w:numId w:val="59"/>
        </w:numPr>
        <w:spacing w:line="300" w:lineRule="auto"/>
        <w:ind w:firstLineChars="0"/>
      </w:pPr>
      <w:r>
        <w:t>具备结果自动发布和</w:t>
      </w:r>
      <w:r>
        <w:rPr>
          <w:rFonts w:hint="eastAsia"/>
        </w:rPr>
        <w:t>手动</w:t>
      </w:r>
      <w:r>
        <w:t>发布功能，支持将市场交易结果分公有信息和私有信息进行发布，信息发布根据数据属性和登录用户角色自动对信息进行分流控制；</w:t>
      </w:r>
    </w:p>
    <w:p>
      <w:pPr>
        <w:pStyle w:val="53"/>
        <w:numPr>
          <w:ilvl w:val="0"/>
          <w:numId w:val="59"/>
        </w:numPr>
        <w:spacing w:line="300" w:lineRule="auto"/>
        <w:ind w:firstLineChars="0"/>
      </w:pPr>
      <w:r>
        <w:t>具备自动修改滚动计划并实时转发至EMS系统计划值模块的功能。</w:t>
      </w:r>
    </w:p>
    <w:p>
      <w:pPr>
        <w:pStyle w:val="4"/>
      </w:pPr>
      <w:bookmarkStart w:id="128" w:name="_Toc511389214"/>
      <w:r>
        <w:t>界面要求</w:t>
      </w:r>
      <w:bookmarkEnd w:id="128"/>
    </w:p>
    <w:p>
      <w:pPr>
        <w:pStyle w:val="53"/>
        <w:numPr>
          <w:ilvl w:val="0"/>
          <w:numId w:val="60"/>
        </w:numPr>
        <w:spacing w:line="300" w:lineRule="auto"/>
        <w:ind w:firstLineChars="0"/>
      </w:pPr>
      <w:r>
        <w:t>支持平衡机制滚动计算状态</w:t>
      </w:r>
      <w:r>
        <w:rPr>
          <w:rFonts w:hint="eastAsia"/>
        </w:rPr>
        <w:t>监测</w:t>
      </w:r>
      <w:r>
        <w:t>，包括每次执行周期中的当前执行状态、日志信息、异常信息等；</w:t>
      </w:r>
    </w:p>
    <w:p>
      <w:pPr>
        <w:pStyle w:val="53"/>
        <w:numPr>
          <w:ilvl w:val="0"/>
          <w:numId w:val="60"/>
        </w:numPr>
        <w:spacing w:line="300" w:lineRule="auto"/>
        <w:ind w:firstLineChars="0"/>
      </w:pPr>
      <w:r>
        <w:t>支持按照地理行政分区或逻辑价区的分区价格查询，支持通过地理图形式显示分区价格；</w:t>
      </w:r>
    </w:p>
    <w:p>
      <w:pPr>
        <w:pStyle w:val="53"/>
        <w:numPr>
          <w:ilvl w:val="0"/>
          <w:numId w:val="60"/>
        </w:numPr>
        <w:spacing w:line="300" w:lineRule="auto"/>
        <w:ind w:firstLineChars="0"/>
      </w:pPr>
      <w:r>
        <w:t>支持出清结果与安全校核结果曲线、棒图、饼图、面积堆积图等多种方式展示；</w:t>
      </w:r>
    </w:p>
    <w:p>
      <w:pPr>
        <w:pStyle w:val="53"/>
        <w:numPr>
          <w:ilvl w:val="0"/>
          <w:numId w:val="60"/>
        </w:numPr>
        <w:spacing w:line="300" w:lineRule="auto"/>
        <w:ind w:firstLineChars="0"/>
      </w:pPr>
      <w:r>
        <w:t>支持安全校核断面、变压器、线路设备潮流及关联机组灵敏度信息查看；</w:t>
      </w:r>
    </w:p>
    <w:p>
      <w:pPr>
        <w:pStyle w:val="53"/>
        <w:numPr>
          <w:ilvl w:val="0"/>
          <w:numId w:val="60"/>
        </w:numPr>
        <w:spacing w:line="300" w:lineRule="auto"/>
        <w:ind w:firstLineChars="0"/>
      </w:pPr>
      <w:r>
        <w:t>支持机组出力及出清价格查询及对比展示；</w:t>
      </w:r>
    </w:p>
    <w:p>
      <w:pPr>
        <w:pStyle w:val="53"/>
        <w:numPr>
          <w:ilvl w:val="0"/>
          <w:numId w:val="60"/>
        </w:numPr>
        <w:spacing w:line="300" w:lineRule="auto"/>
        <w:ind w:firstLineChars="0"/>
      </w:pPr>
      <w:r>
        <w:t>支持节点价格及节点所关联的负荷、机组出清结果展示；</w:t>
      </w:r>
    </w:p>
    <w:p>
      <w:pPr>
        <w:pStyle w:val="53"/>
        <w:numPr>
          <w:ilvl w:val="0"/>
          <w:numId w:val="60"/>
        </w:numPr>
        <w:spacing w:line="300" w:lineRule="auto"/>
        <w:ind w:firstLineChars="0"/>
      </w:pPr>
      <w:r>
        <w:t>支持全天范围最高LMP、最低LMP、平均加权LMP曲线、日前与实时LMP对比展示及系统负荷预测趋势对比展示；</w:t>
      </w:r>
    </w:p>
    <w:p>
      <w:pPr>
        <w:pStyle w:val="53"/>
        <w:numPr>
          <w:ilvl w:val="0"/>
          <w:numId w:val="60"/>
        </w:numPr>
        <w:spacing w:line="300" w:lineRule="auto"/>
        <w:ind w:firstLineChars="0"/>
      </w:pPr>
      <w:r>
        <w:t>支持所有设备（线路、变压器绕组、断面）的安全校核详细潮流及相关发电机组灵敏度信息查询展示；</w:t>
      </w:r>
    </w:p>
    <w:p>
      <w:pPr>
        <w:pStyle w:val="53"/>
        <w:numPr>
          <w:ilvl w:val="0"/>
          <w:numId w:val="60"/>
        </w:numPr>
        <w:spacing w:line="300" w:lineRule="auto"/>
        <w:ind w:firstLineChars="0"/>
      </w:pPr>
      <w:r>
        <w:t>支持安全校核计算出的设备重载、越限、N-1故障信息查询分析展示，包括但不限于：</w:t>
      </w:r>
    </w:p>
    <w:p>
      <w:pPr>
        <w:pStyle w:val="53"/>
        <w:numPr>
          <w:ilvl w:val="0"/>
          <w:numId w:val="61"/>
        </w:numPr>
        <w:spacing w:line="300" w:lineRule="auto"/>
        <w:ind w:firstLineChars="0"/>
      </w:pPr>
      <w:r>
        <w:t>支持汇总展示安全校核计算结果的重载、越限、N-1越限的时段数、设备数等信息；</w:t>
      </w:r>
    </w:p>
    <w:p>
      <w:pPr>
        <w:pStyle w:val="53"/>
        <w:numPr>
          <w:ilvl w:val="0"/>
          <w:numId w:val="61"/>
        </w:numPr>
        <w:spacing w:line="300" w:lineRule="auto"/>
        <w:ind w:firstLineChars="0"/>
      </w:pPr>
      <w:r>
        <w:t>支持展示单个设备在安全校核计算中出现重载、越限和预想故障越限的时段数目，显示其各时段的计划潮流；</w:t>
      </w:r>
    </w:p>
    <w:p>
      <w:pPr>
        <w:pStyle w:val="53"/>
        <w:numPr>
          <w:ilvl w:val="0"/>
          <w:numId w:val="61"/>
        </w:numPr>
        <w:spacing w:line="300" w:lineRule="auto"/>
        <w:ind w:firstLineChars="0"/>
      </w:pPr>
      <w:r>
        <w:t>支持从时间维展示安全校核计算中出现重载、基态越限和预想故障越限的时段，能够任意选择某个时段展示计划模式下的潮流和校核结果，能够展示各时段出现重载和越限的元件个数；</w:t>
      </w:r>
    </w:p>
    <w:p>
      <w:pPr>
        <w:pStyle w:val="53"/>
        <w:numPr>
          <w:ilvl w:val="0"/>
          <w:numId w:val="61"/>
        </w:numPr>
        <w:spacing w:line="300" w:lineRule="auto"/>
        <w:ind w:firstLineChars="0"/>
      </w:pPr>
      <w:r>
        <w:t>支持从预想故障维显示在某一预想故障情况下出现重载和越限的时段个数，以及某时段越限最为严重的设备名称及计划潮流。</w:t>
      </w:r>
    </w:p>
    <w:p>
      <w:pPr>
        <w:pStyle w:val="4"/>
      </w:pPr>
      <w:bookmarkStart w:id="129" w:name="_Toc511389215"/>
      <w:r>
        <w:t>接口要求</w:t>
      </w:r>
      <w:bookmarkEnd w:id="129"/>
    </w:p>
    <w:p>
      <w:pPr>
        <w:pStyle w:val="5"/>
        <w:rPr>
          <w:rFonts w:ascii="Times New Roman" w:hAnsi="Times New Roman"/>
        </w:rPr>
      </w:pPr>
      <w:r>
        <w:rPr>
          <w:rFonts w:ascii="Times New Roman" w:hAnsi="Times New Roman"/>
        </w:rPr>
        <w:t>数据输入</w:t>
      </w:r>
    </w:p>
    <w:p>
      <w:pPr>
        <w:pStyle w:val="53"/>
        <w:numPr>
          <w:ilvl w:val="0"/>
          <w:numId w:val="62"/>
        </w:numPr>
        <w:spacing w:line="300" w:lineRule="auto"/>
        <w:ind w:firstLineChars="0"/>
      </w:pPr>
      <w:r>
        <w:t>来自EMS系统的电网模型、限额信息、故障信息；</w:t>
      </w:r>
    </w:p>
    <w:p>
      <w:pPr>
        <w:pStyle w:val="53"/>
        <w:numPr>
          <w:ilvl w:val="0"/>
          <w:numId w:val="62"/>
        </w:numPr>
        <w:spacing w:line="300" w:lineRule="auto"/>
        <w:ind w:firstLineChars="0"/>
      </w:pPr>
      <w:r>
        <w:t>来自EMS系统的状态估计信息；</w:t>
      </w:r>
    </w:p>
    <w:p>
      <w:pPr>
        <w:pStyle w:val="53"/>
        <w:numPr>
          <w:ilvl w:val="0"/>
          <w:numId w:val="62"/>
        </w:numPr>
        <w:spacing w:line="300" w:lineRule="auto"/>
        <w:ind w:firstLineChars="0"/>
      </w:pPr>
      <w:r>
        <w:t>来自EMS、OMS系统的计算周期范围内的超短期系统负荷预测、超短期母线负荷预测、最新联络线计划、临时检修计划、可再生能源发电预测等信息；</w:t>
      </w:r>
    </w:p>
    <w:p>
      <w:pPr>
        <w:pStyle w:val="53"/>
        <w:numPr>
          <w:ilvl w:val="0"/>
          <w:numId w:val="62"/>
        </w:numPr>
        <w:spacing w:line="300" w:lineRule="auto"/>
        <w:ind w:firstLineChars="0"/>
      </w:pPr>
      <w:r>
        <w:t>来自市场申报的市场报价、计划电量、计划出力建议、临时出力限额等信息；</w:t>
      </w:r>
    </w:p>
    <w:p>
      <w:pPr>
        <w:pStyle w:val="53"/>
        <w:numPr>
          <w:ilvl w:val="0"/>
          <w:numId w:val="62"/>
        </w:numPr>
        <w:spacing w:line="300" w:lineRule="auto"/>
        <w:ind w:firstLineChars="0"/>
      </w:pPr>
      <w:r>
        <w:t>来自市场模型的机组出力上下限、爬坡速率、AGC调节速率、最小开停机时间、开停机次数、启停磨、振动区等信息；</w:t>
      </w:r>
    </w:p>
    <w:p>
      <w:pPr>
        <w:pStyle w:val="53"/>
        <w:numPr>
          <w:ilvl w:val="0"/>
          <w:numId w:val="62"/>
        </w:numPr>
        <w:spacing w:line="300" w:lineRule="auto"/>
        <w:ind w:firstLineChars="0"/>
      </w:pPr>
      <w:r>
        <w:t>来自安全校核的灵敏度信息；</w:t>
      </w:r>
    </w:p>
    <w:p>
      <w:pPr>
        <w:pStyle w:val="53"/>
        <w:numPr>
          <w:ilvl w:val="0"/>
          <w:numId w:val="62"/>
        </w:numPr>
        <w:spacing w:line="300" w:lineRule="auto"/>
        <w:ind w:left="902" w:firstLineChars="0"/>
      </w:pPr>
      <w:r>
        <w:t>日内市场出清结果。</w:t>
      </w:r>
    </w:p>
    <w:p>
      <w:pPr>
        <w:pStyle w:val="5"/>
        <w:rPr>
          <w:rFonts w:ascii="Times New Roman" w:hAnsi="Times New Roman"/>
        </w:rPr>
      </w:pPr>
      <w:r>
        <w:rPr>
          <w:rFonts w:ascii="Times New Roman" w:hAnsi="Times New Roman"/>
        </w:rPr>
        <w:t>数据输出</w:t>
      </w:r>
    </w:p>
    <w:p>
      <w:pPr>
        <w:spacing w:line="300" w:lineRule="auto"/>
        <w:ind w:firstLine="480"/>
      </w:pPr>
      <w:r>
        <w:t>机组出力、节点价格、分区价格、安全校核结果。</w:t>
      </w:r>
    </w:p>
    <w:p>
      <w:pPr>
        <w:pStyle w:val="3"/>
      </w:pPr>
      <w:bookmarkStart w:id="130" w:name="_Toc500597448"/>
      <w:bookmarkStart w:id="131" w:name="_Toc511389216"/>
      <w:r>
        <w:t>辅助服务市场</w:t>
      </w:r>
      <w:bookmarkEnd w:id="130"/>
      <w:bookmarkEnd w:id="131"/>
    </w:p>
    <w:p>
      <w:pPr>
        <w:spacing w:line="300" w:lineRule="auto"/>
        <w:ind w:firstLine="482"/>
      </w:pPr>
      <w:r>
        <w:t>辅助服务市场可按规则由市场运营机构通过双边合约或集中招标的方式实施，也可基于市场竞价进行辅助服务产品市场化交易，包括AGC调频、备用等市场。市场模式支持与电能量统一出清联合市场</w:t>
      </w:r>
      <w:r>
        <w:rPr>
          <w:rFonts w:hint="eastAsia"/>
        </w:rPr>
        <w:t>模式</w:t>
      </w:r>
      <w:r>
        <w:t>和独立出清模式：</w:t>
      </w:r>
    </w:p>
    <w:p>
      <w:pPr>
        <w:pStyle w:val="53"/>
        <w:numPr>
          <w:ilvl w:val="0"/>
          <w:numId w:val="63"/>
        </w:numPr>
        <w:spacing w:line="300" w:lineRule="auto"/>
        <w:ind w:firstLineChars="0"/>
      </w:pPr>
      <w:r>
        <w:t>统一联合优化：在电能量市场中同时提交辅助服务报价，由电能量与辅助服务联合出清算法考虑机组约束</w:t>
      </w:r>
      <w:r>
        <w:rPr>
          <w:rFonts w:hint="eastAsia"/>
        </w:rPr>
        <w:t>、</w:t>
      </w:r>
      <w:r>
        <w:t>系统平衡约束</w:t>
      </w:r>
      <w:r>
        <w:rPr>
          <w:rFonts w:hint="eastAsia"/>
        </w:rPr>
        <w:t>、</w:t>
      </w:r>
      <w:r>
        <w:t>网络约束等条件进行统一出清，出清结果中同时包括电能量和辅助服务出清结果；</w:t>
      </w:r>
    </w:p>
    <w:p>
      <w:pPr>
        <w:pStyle w:val="53"/>
        <w:numPr>
          <w:ilvl w:val="0"/>
          <w:numId w:val="63"/>
        </w:numPr>
        <w:spacing w:line="300" w:lineRule="auto"/>
        <w:ind w:firstLineChars="0"/>
      </w:pPr>
      <w:r>
        <w:t>独立出清：单独组织辅助服务市场竞价，根据市场规则进行出清。</w:t>
      </w:r>
    </w:p>
    <w:p>
      <w:pPr>
        <w:pStyle w:val="4"/>
      </w:pPr>
      <w:bookmarkStart w:id="132" w:name="_Toc511389217"/>
      <w:r>
        <w:t>功能要求</w:t>
      </w:r>
      <w:bookmarkEnd w:id="132"/>
    </w:p>
    <w:p>
      <w:pPr>
        <w:pStyle w:val="5"/>
        <w:rPr>
          <w:rFonts w:ascii="Times New Roman" w:hAnsi="Times New Roman"/>
        </w:rPr>
      </w:pPr>
      <w:r>
        <w:rPr>
          <w:rFonts w:ascii="Times New Roman" w:hAnsi="Times New Roman"/>
        </w:rPr>
        <w:t>辅助服务交易数据准备</w:t>
      </w:r>
    </w:p>
    <w:p>
      <w:pPr>
        <w:spacing w:line="300" w:lineRule="auto"/>
        <w:ind w:firstLine="480"/>
      </w:pPr>
      <w:r>
        <w:t>根据相应规则及计算方法，根据系统负荷、电网运行方式变化，动态评估计算系统的调频、备用等辅助服务需求总量。</w:t>
      </w:r>
    </w:p>
    <w:p>
      <w:pPr>
        <w:spacing w:line="300" w:lineRule="auto"/>
        <w:ind w:firstLine="480"/>
      </w:pPr>
      <w:r>
        <w:t>根据辅助服务需求信息、市场成员竞价信息，生成辅助服务交易出清案例数据并进行可视化展示。</w:t>
      </w:r>
    </w:p>
    <w:p>
      <w:pPr>
        <w:pStyle w:val="5"/>
        <w:rPr>
          <w:rFonts w:ascii="Times New Roman" w:hAnsi="Times New Roman"/>
        </w:rPr>
      </w:pPr>
      <w:r>
        <w:rPr>
          <w:rFonts w:ascii="Times New Roman" w:hAnsi="Times New Roman"/>
        </w:rPr>
        <w:t>辅助服务交易出清</w:t>
      </w:r>
    </w:p>
    <w:p>
      <w:pPr>
        <w:spacing w:line="300" w:lineRule="auto"/>
        <w:ind w:firstLine="480"/>
      </w:pPr>
      <w:r>
        <w:t>综合考虑现货市场电能量日前、日内、平衡机制出清情况及需求，基于符合市场规则的出清算法，按市场周期对调频、备用等辅助服务预留容量进行出清，并在实时调度时进行调用。</w:t>
      </w:r>
    </w:p>
    <w:p>
      <w:pPr>
        <w:pStyle w:val="4"/>
      </w:pPr>
      <w:bookmarkStart w:id="133" w:name="_Toc511389218"/>
      <w:r>
        <w:t>界面要求</w:t>
      </w:r>
      <w:bookmarkEnd w:id="133"/>
    </w:p>
    <w:p>
      <w:pPr>
        <w:pStyle w:val="53"/>
        <w:numPr>
          <w:ilvl w:val="0"/>
          <w:numId w:val="64"/>
        </w:numPr>
        <w:spacing w:line="300" w:lineRule="auto"/>
        <w:ind w:firstLineChars="0"/>
      </w:pPr>
      <w:r>
        <w:t>提供辅助服务需求生成与发布界面；</w:t>
      </w:r>
    </w:p>
    <w:p>
      <w:pPr>
        <w:pStyle w:val="53"/>
        <w:numPr>
          <w:ilvl w:val="0"/>
          <w:numId w:val="64"/>
        </w:numPr>
        <w:spacing w:line="300" w:lineRule="auto"/>
        <w:ind w:firstLineChars="0"/>
      </w:pPr>
      <w:r>
        <w:t>提供市场参数维护界面；</w:t>
      </w:r>
    </w:p>
    <w:p>
      <w:pPr>
        <w:pStyle w:val="53"/>
        <w:numPr>
          <w:ilvl w:val="0"/>
          <w:numId w:val="64"/>
        </w:numPr>
        <w:spacing w:line="300" w:lineRule="auto"/>
        <w:ind w:firstLineChars="0"/>
      </w:pPr>
      <w:r>
        <w:t>提供市场辅助服务交易申报信息汇总查看界面；</w:t>
      </w:r>
    </w:p>
    <w:p>
      <w:pPr>
        <w:pStyle w:val="53"/>
        <w:numPr>
          <w:ilvl w:val="0"/>
          <w:numId w:val="64"/>
        </w:numPr>
        <w:spacing w:line="300" w:lineRule="auto"/>
        <w:ind w:firstLineChars="0"/>
      </w:pPr>
      <w:r>
        <w:t>提供机组调频、备用等状态实时查看界面；</w:t>
      </w:r>
    </w:p>
    <w:p>
      <w:pPr>
        <w:pStyle w:val="53"/>
        <w:numPr>
          <w:ilvl w:val="0"/>
          <w:numId w:val="64"/>
        </w:numPr>
        <w:spacing w:line="300" w:lineRule="auto"/>
        <w:ind w:firstLineChars="0"/>
      </w:pPr>
      <w:r>
        <w:t>提供日、月辅助服务市场结算信息查看界面；</w:t>
      </w:r>
    </w:p>
    <w:p>
      <w:pPr>
        <w:pStyle w:val="53"/>
        <w:numPr>
          <w:ilvl w:val="0"/>
          <w:numId w:val="64"/>
        </w:numPr>
        <w:spacing w:line="300" w:lineRule="auto"/>
        <w:ind w:firstLineChars="0"/>
      </w:pPr>
      <w:r>
        <w:t>提供曲线、棒图、饼图等多种形式市场分析结果展示界面；</w:t>
      </w:r>
    </w:p>
    <w:p>
      <w:pPr>
        <w:pStyle w:val="53"/>
        <w:numPr>
          <w:ilvl w:val="0"/>
          <w:numId w:val="64"/>
        </w:numPr>
        <w:spacing w:line="300" w:lineRule="auto"/>
        <w:ind w:firstLineChars="0"/>
      </w:pPr>
      <w:r>
        <w:t>提供对分析结果的多维度、可视化展示界面。</w:t>
      </w:r>
    </w:p>
    <w:p>
      <w:pPr>
        <w:pStyle w:val="4"/>
      </w:pPr>
      <w:bookmarkStart w:id="134" w:name="_Toc511389219"/>
      <w:r>
        <w:t>接口要求</w:t>
      </w:r>
      <w:bookmarkEnd w:id="134"/>
    </w:p>
    <w:p>
      <w:pPr>
        <w:pStyle w:val="5"/>
        <w:rPr>
          <w:rFonts w:ascii="Times New Roman" w:hAnsi="Times New Roman"/>
        </w:rPr>
      </w:pPr>
      <w:r>
        <w:rPr>
          <w:rFonts w:ascii="Times New Roman" w:hAnsi="Times New Roman"/>
        </w:rPr>
        <w:t>数据输入</w:t>
      </w:r>
    </w:p>
    <w:p>
      <w:pPr>
        <w:pStyle w:val="53"/>
        <w:numPr>
          <w:ilvl w:val="0"/>
          <w:numId w:val="65"/>
        </w:numPr>
        <w:spacing w:line="300" w:lineRule="auto"/>
        <w:ind w:firstLineChars="0"/>
      </w:pPr>
      <w:r>
        <w:t>从EMS系统运行数据中获取系统负荷预测、机组组合状态等数据；</w:t>
      </w:r>
    </w:p>
    <w:p>
      <w:pPr>
        <w:pStyle w:val="53"/>
        <w:numPr>
          <w:ilvl w:val="0"/>
          <w:numId w:val="65"/>
        </w:numPr>
        <w:spacing w:line="300" w:lineRule="auto"/>
        <w:ind w:firstLineChars="0"/>
      </w:pPr>
      <w:r>
        <w:t>从EMS系统系统获取机组物理参数和运行参数；</w:t>
      </w:r>
    </w:p>
    <w:p>
      <w:pPr>
        <w:pStyle w:val="53"/>
        <w:numPr>
          <w:ilvl w:val="0"/>
          <w:numId w:val="65"/>
        </w:numPr>
        <w:spacing w:line="300" w:lineRule="auto"/>
        <w:ind w:firstLineChars="0"/>
      </w:pPr>
      <w:r>
        <w:t>来自市场申报的各机组辅助服务报价。</w:t>
      </w:r>
    </w:p>
    <w:p>
      <w:pPr>
        <w:pStyle w:val="5"/>
        <w:rPr>
          <w:rFonts w:ascii="Times New Roman" w:hAnsi="Times New Roman"/>
        </w:rPr>
      </w:pPr>
      <w:r>
        <w:rPr>
          <w:rFonts w:ascii="Times New Roman" w:hAnsi="Times New Roman"/>
        </w:rPr>
        <w:t>数据输出</w:t>
      </w:r>
    </w:p>
    <w:p>
      <w:pPr>
        <w:spacing w:line="300" w:lineRule="auto"/>
        <w:ind w:firstLine="480"/>
      </w:pPr>
      <w:r>
        <w:t>辅助服务市场交易出清结果。</w:t>
      </w:r>
    </w:p>
    <w:p>
      <w:pPr>
        <w:pStyle w:val="3"/>
      </w:pPr>
      <w:bookmarkStart w:id="135" w:name="_Toc500597449"/>
      <w:bookmarkStart w:id="136" w:name="_Toc511389220"/>
      <w:r>
        <w:t>安全校核</w:t>
      </w:r>
      <w:bookmarkEnd w:id="135"/>
      <w:bookmarkEnd w:id="136"/>
    </w:p>
    <w:p>
      <w:pPr>
        <w:spacing w:line="300" w:lineRule="auto"/>
        <w:ind w:firstLine="480"/>
      </w:pPr>
      <w:r>
        <w:t>安全校核主要完成各个时段电网运行计划和电网运行操作的安全校核。运营系统市场出清应至少满足静态安全校核的要求。静态安全校核功能是在给定的方式下，对电网进行静态安全方面的综合分析，包括基态潮流分析、静态安全分析、灵敏度分析等，确保最终生成的市场出清结果满足电网静态安全约束。</w:t>
      </w:r>
    </w:p>
    <w:p>
      <w:pPr>
        <w:pStyle w:val="4"/>
      </w:pPr>
      <w:bookmarkStart w:id="137" w:name="_Toc511389221"/>
      <w:r>
        <w:t>功能要求</w:t>
      </w:r>
      <w:bookmarkEnd w:id="137"/>
    </w:p>
    <w:p>
      <w:pPr>
        <w:pStyle w:val="5"/>
        <w:rPr>
          <w:rFonts w:ascii="Times New Roman" w:hAnsi="Times New Roman"/>
        </w:rPr>
      </w:pPr>
      <w:r>
        <w:rPr>
          <w:rFonts w:ascii="Times New Roman" w:hAnsi="Times New Roman"/>
        </w:rPr>
        <w:t>基态潮流分析</w:t>
      </w:r>
    </w:p>
    <w:p>
      <w:pPr>
        <w:spacing w:line="300" w:lineRule="auto"/>
        <w:ind w:firstLine="600" w:firstLineChars="250"/>
      </w:pPr>
      <w:r>
        <w:t>基态潮流分析根据自动生成的校核断面潮流进行分析计算，判断基态潮流下的设备越限情况。</w:t>
      </w:r>
    </w:p>
    <w:p>
      <w:pPr>
        <w:spacing w:line="300" w:lineRule="auto"/>
        <w:ind w:firstLine="480"/>
      </w:pPr>
      <w:r>
        <w:t>基态潮流分析</w:t>
      </w:r>
      <w:r>
        <w:rPr>
          <w:rFonts w:hint="eastAsia"/>
        </w:rPr>
        <w:t>应</w:t>
      </w:r>
      <w:r>
        <w:t>满足如下功能：</w:t>
      </w:r>
    </w:p>
    <w:p>
      <w:pPr>
        <w:pStyle w:val="53"/>
        <w:numPr>
          <w:ilvl w:val="0"/>
          <w:numId w:val="66"/>
        </w:numPr>
        <w:spacing w:line="300" w:lineRule="auto"/>
        <w:ind w:firstLineChars="0"/>
      </w:pPr>
      <w:r>
        <w:t>能够将校核断面潮流与设备限额进行比对和越限检查，包括线路电流越限、输电断面越限、变压器容量越限和母线电压越限；</w:t>
      </w:r>
    </w:p>
    <w:p>
      <w:pPr>
        <w:pStyle w:val="53"/>
        <w:numPr>
          <w:ilvl w:val="0"/>
          <w:numId w:val="66"/>
        </w:numPr>
        <w:spacing w:line="300" w:lineRule="auto"/>
        <w:ind w:firstLineChars="0"/>
      </w:pPr>
      <w:r>
        <w:t>能够给出过载设备及其过载程度、越限设备及其越限程度。</w:t>
      </w:r>
    </w:p>
    <w:p>
      <w:pPr>
        <w:pStyle w:val="5"/>
        <w:rPr>
          <w:rFonts w:ascii="Times New Roman" w:hAnsi="Times New Roman"/>
        </w:rPr>
      </w:pPr>
      <w:r>
        <w:rPr>
          <w:rFonts w:ascii="Times New Roman" w:hAnsi="Times New Roman"/>
        </w:rPr>
        <w:t>静态安全分析</w:t>
      </w:r>
    </w:p>
    <w:p>
      <w:pPr>
        <w:spacing w:line="300" w:lineRule="auto"/>
        <w:ind w:firstLine="480" w:firstLineChars="200"/>
      </w:pPr>
      <w:r>
        <w:t>静态安全分析根据校核断面自动生成功能形成的校核断面潮流，分析N-1故障和指定故障集下的设备越限情况。</w:t>
      </w:r>
    </w:p>
    <w:p>
      <w:pPr>
        <w:spacing w:line="300" w:lineRule="auto"/>
        <w:ind w:firstLine="480"/>
      </w:pPr>
      <w:r>
        <w:t>静态安全分析</w:t>
      </w:r>
      <w:r>
        <w:rPr>
          <w:rFonts w:hint="eastAsia"/>
        </w:rPr>
        <w:t>应</w:t>
      </w:r>
      <w:r>
        <w:t>满足如下功能：</w:t>
      </w:r>
    </w:p>
    <w:p>
      <w:pPr>
        <w:pStyle w:val="53"/>
        <w:numPr>
          <w:ilvl w:val="0"/>
          <w:numId w:val="67"/>
        </w:numPr>
        <w:spacing w:line="300" w:lineRule="auto"/>
        <w:ind w:firstLineChars="0"/>
      </w:pPr>
      <w:r>
        <w:t>能够按设备类型、电压等级和分区确定N-1计算范围；</w:t>
      </w:r>
    </w:p>
    <w:p>
      <w:pPr>
        <w:pStyle w:val="53"/>
        <w:numPr>
          <w:ilvl w:val="0"/>
          <w:numId w:val="67"/>
        </w:numPr>
        <w:spacing w:line="300" w:lineRule="auto"/>
        <w:ind w:firstLineChars="0"/>
      </w:pPr>
      <w:r>
        <w:t>能够根据N-1原则逐个开断全网设备（包括线路、主变、机组和母线），并判断其它元件是否出现越限；</w:t>
      </w:r>
    </w:p>
    <w:p>
      <w:pPr>
        <w:pStyle w:val="53"/>
        <w:numPr>
          <w:ilvl w:val="0"/>
          <w:numId w:val="67"/>
        </w:numPr>
        <w:spacing w:line="300" w:lineRule="auto"/>
        <w:ind w:firstLineChars="0"/>
      </w:pPr>
      <w:r>
        <w:t>能够对指定故障集进行静态安全分析计算，并判断其它元件是否出现越限；</w:t>
      </w:r>
    </w:p>
    <w:p>
      <w:pPr>
        <w:pStyle w:val="53"/>
        <w:numPr>
          <w:ilvl w:val="0"/>
          <w:numId w:val="67"/>
        </w:numPr>
        <w:spacing w:line="300" w:lineRule="auto"/>
        <w:ind w:firstLineChars="0"/>
      </w:pPr>
      <w:r>
        <w:t>能够给出导致过载和越限的故障及相应的过载和越限设备，并给出故障严重程度指标。</w:t>
      </w:r>
    </w:p>
    <w:p>
      <w:pPr>
        <w:pStyle w:val="5"/>
        <w:rPr>
          <w:rFonts w:ascii="Times New Roman" w:hAnsi="Times New Roman"/>
        </w:rPr>
      </w:pPr>
      <w:r>
        <w:rPr>
          <w:rFonts w:ascii="Times New Roman" w:hAnsi="Times New Roman"/>
        </w:rPr>
        <w:t>灵敏度分析</w:t>
      </w:r>
    </w:p>
    <w:p>
      <w:pPr>
        <w:spacing w:line="300" w:lineRule="auto"/>
        <w:ind w:firstLine="480"/>
      </w:pPr>
      <w:r>
        <w:t>灵敏度分析针对校核断面潮流，对静态安全分析结果中的越限、过载设备和输电断面进行灵敏度分析。</w:t>
      </w:r>
    </w:p>
    <w:p>
      <w:pPr>
        <w:spacing w:line="300" w:lineRule="auto"/>
        <w:ind w:firstLine="480"/>
      </w:pPr>
      <w:r>
        <w:t>灵敏度分析</w:t>
      </w:r>
      <w:r>
        <w:rPr>
          <w:rFonts w:hint="eastAsia"/>
        </w:rPr>
        <w:t>应</w:t>
      </w:r>
      <w:r>
        <w:t>满足如下功能：</w:t>
      </w:r>
    </w:p>
    <w:p>
      <w:pPr>
        <w:pStyle w:val="53"/>
        <w:numPr>
          <w:ilvl w:val="0"/>
          <w:numId w:val="68"/>
        </w:numPr>
        <w:spacing w:line="300" w:lineRule="auto"/>
        <w:ind w:firstLineChars="0"/>
      </w:pPr>
      <w:r>
        <w:t>能够计算支路或输电断面有功功率和发电机有功出力之间的灵敏度；</w:t>
      </w:r>
    </w:p>
    <w:p>
      <w:pPr>
        <w:pStyle w:val="53"/>
        <w:numPr>
          <w:ilvl w:val="0"/>
          <w:numId w:val="68"/>
        </w:numPr>
        <w:spacing w:line="300" w:lineRule="auto"/>
        <w:ind w:firstLineChars="0"/>
      </w:pPr>
      <w:r>
        <w:t>能够计算支路开断分布因子，即线路或变压器支路开断后其它线路或变压器功率的变化情况；</w:t>
      </w:r>
    </w:p>
    <w:p>
      <w:pPr>
        <w:pStyle w:val="53"/>
        <w:numPr>
          <w:ilvl w:val="0"/>
          <w:numId w:val="68"/>
        </w:numPr>
        <w:spacing w:line="300" w:lineRule="auto"/>
        <w:ind w:firstLineChars="0"/>
      </w:pPr>
      <w:r>
        <w:t>能够计算母线电压和节点无功注入（包括发电机节点和电容电抗器节点）之间的灵敏度，母线电压和变压器变比之间的灵敏度。</w:t>
      </w:r>
    </w:p>
    <w:p>
      <w:pPr>
        <w:pStyle w:val="5"/>
        <w:rPr>
          <w:rFonts w:ascii="Times New Roman" w:hAnsi="Times New Roman"/>
        </w:rPr>
      </w:pPr>
      <w:r>
        <w:rPr>
          <w:rFonts w:ascii="Times New Roman" w:hAnsi="Times New Roman"/>
        </w:rPr>
        <w:t>并行计算</w:t>
      </w:r>
    </w:p>
    <w:p>
      <w:pPr>
        <w:pStyle w:val="53"/>
        <w:numPr>
          <w:ilvl w:val="0"/>
          <w:numId w:val="69"/>
        </w:numPr>
        <w:spacing w:line="300" w:lineRule="auto"/>
        <w:ind w:firstLineChars="0"/>
      </w:pPr>
      <w:r>
        <w:t>支持多个校核断面并行计算；</w:t>
      </w:r>
    </w:p>
    <w:p>
      <w:pPr>
        <w:pStyle w:val="53"/>
        <w:numPr>
          <w:ilvl w:val="0"/>
          <w:numId w:val="69"/>
        </w:numPr>
        <w:spacing w:line="300" w:lineRule="auto"/>
        <w:ind w:firstLineChars="0"/>
      </w:pPr>
      <w:r>
        <w:t>支持多个计算任务并行计算，包括静态安全分析和灵敏度分析；</w:t>
      </w:r>
    </w:p>
    <w:p>
      <w:pPr>
        <w:pStyle w:val="53"/>
        <w:numPr>
          <w:ilvl w:val="0"/>
          <w:numId w:val="69"/>
        </w:numPr>
        <w:spacing w:line="300" w:lineRule="auto"/>
        <w:ind w:firstLineChars="0"/>
      </w:pPr>
      <w:r>
        <w:t>支持多个算例并行计算。</w:t>
      </w:r>
    </w:p>
    <w:p>
      <w:pPr>
        <w:pStyle w:val="4"/>
      </w:pPr>
      <w:bookmarkStart w:id="138" w:name="_Toc511389222"/>
      <w:r>
        <w:t>界面要求</w:t>
      </w:r>
      <w:bookmarkEnd w:id="138"/>
    </w:p>
    <w:p>
      <w:pPr>
        <w:spacing w:line="300" w:lineRule="auto"/>
        <w:ind w:firstLine="480"/>
      </w:pPr>
      <w:r>
        <w:t>支持设置计算参数、设置计算内容、</w:t>
      </w:r>
      <w:r>
        <w:rPr>
          <w:rFonts w:hint="eastAsia"/>
        </w:rPr>
        <w:t>监测</w:t>
      </w:r>
      <w:r>
        <w:t>计算进度和查看计算结果。计算参数设置的界面包括：</w:t>
      </w:r>
    </w:p>
    <w:p>
      <w:pPr>
        <w:pStyle w:val="53"/>
        <w:numPr>
          <w:ilvl w:val="0"/>
          <w:numId w:val="70"/>
        </w:numPr>
        <w:spacing w:line="300" w:lineRule="auto"/>
        <w:ind w:firstLineChars="0"/>
      </w:pPr>
      <w:r>
        <w:t>能够浏览和修改设备和输电断面的限值；</w:t>
      </w:r>
    </w:p>
    <w:p>
      <w:pPr>
        <w:pStyle w:val="53"/>
        <w:numPr>
          <w:ilvl w:val="0"/>
          <w:numId w:val="70"/>
        </w:numPr>
        <w:spacing w:line="300" w:lineRule="auto"/>
        <w:ind w:firstLineChars="0"/>
      </w:pPr>
      <w:r>
        <w:t>能够按照分区和电压等级设置计算范围。</w:t>
      </w:r>
    </w:p>
    <w:p>
      <w:pPr>
        <w:spacing w:line="300" w:lineRule="auto"/>
        <w:ind w:firstLine="480"/>
      </w:pPr>
      <w:r>
        <w:t>计算内容设置的界面应包括：</w:t>
      </w:r>
    </w:p>
    <w:p>
      <w:pPr>
        <w:pStyle w:val="53"/>
        <w:numPr>
          <w:ilvl w:val="0"/>
          <w:numId w:val="71"/>
        </w:numPr>
        <w:spacing w:line="300" w:lineRule="auto"/>
        <w:ind w:firstLineChars="0"/>
      </w:pPr>
      <w:r>
        <w:t>能够设置静态安全校核的计算任务，可选择是否进行基态潮流分析、静态稳定分析和灵敏度分析；</w:t>
      </w:r>
    </w:p>
    <w:p>
      <w:pPr>
        <w:pStyle w:val="53"/>
        <w:numPr>
          <w:ilvl w:val="0"/>
          <w:numId w:val="71"/>
        </w:numPr>
        <w:spacing w:line="300" w:lineRule="auto"/>
        <w:ind w:firstLineChars="0"/>
      </w:pPr>
      <w:r>
        <w:t>能够选择参与静态安全校核计算的校核断面。</w:t>
      </w:r>
    </w:p>
    <w:p>
      <w:pPr>
        <w:spacing w:line="300" w:lineRule="auto"/>
        <w:ind w:firstLine="480"/>
      </w:pPr>
      <w:r>
        <w:t>计算进度</w:t>
      </w:r>
      <w:r>
        <w:rPr>
          <w:rFonts w:hint="eastAsia"/>
        </w:rPr>
        <w:t>监测</w:t>
      </w:r>
      <w:r>
        <w:t>和计算结果查看的界面应包括：</w:t>
      </w:r>
    </w:p>
    <w:p>
      <w:pPr>
        <w:pStyle w:val="53"/>
        <w:numPr>
          <w:ilvl w:val="0"/>
          <w:numId w:val="72"/>
        </w:numPr>
        <w:spacing w:line="300" w:lineRule="auto"/>
        <w:ind w:firstLineChars="0"/>
      </w:pPr>
      <w:r>
        <w:t>能够</w:t>
      </w:r>
      <w:r>
        <w:rPr>
          <w:rFonts w:hint="eastAsia"/>
        </w:rPr>
        <w:t>监测</w:t>
      </w:r>
      <w:r>
        <w:t>静态安全校核的计算进度；</w:t>
      </w:r>
    </w:p>
    <w:p>
      <w:pPr>
        <w:pStyle w:val="53"/>
        <w:numPr>
          <w:ilvl w:val="0"/>
          <w:numId w:val="72"/>
        </w:numPr>
        <w:spacing w:line="300" w:lineRule="auto"/>
        <w:ind w:firstLineChars="0"/>
      </w:pPr>
      <w:r>
        <w:t>能够中止静态安全校核计算；</w:t>
      </w:r>
    </w:p>
    <w:p>
      <w:pPr>
        <w:pStyle w:val="53"/>
        <w:numPr>
          <w:ilvl w:val="0"/>
          <w:numId w:val="72"/>
        </w:numPr>
        <w:spacing w:line="300" w:lineRule="auto"/>
        <w:ind w:firstLineChars="0"/>
      </w:pPr>
      <w:r>
        <w:t>支持按分区、电压等级和设备类型查看计算结果，支持对计算结果进行排序，支持在接线图上显示越限、过载等结果信息；</w:t>
      </w:r>
    </w:p>
    <w:p>
      <w:pPr>
        <w:spacing w:line="300" w:lineRule="auto"/>
        <w:ind w:firstLine="480"/>
      </w:pPr>
      <w:r>
        <w:t>针对基态潮流分析功能，应提供：</w:t>
      </w:r>
    </w:p>
    <w:p>
      <w:pPr>
        <w:pStyle w:val="53"/>
        <w:numPr>
          <w:ilvl w:val="0"/>
          <w:numId w:val="73"/>
        </w:numPr>
        <w:spacing w:line="300" w:lineRule="auto"/>
        <w:ind w:firstLineChars="0"/>
      </w:pPr>
      <w:r>
        <w:t>过载设备及过载程度；</w:t>
      </w:r>
    </w:p>
    <w:p>
      <w:pPr>
        <w:pStyle w:val="53"/>
        <w:numPr>
          <w:ilvl w:val="0"/>
          <w:numId w:val="73"/>
        </w:numPr>
        <w:spacing w:line="300" w:lineRule="auto"/>
        <w:ind w:firstLineChars="0"/>
      </w:pPr>
      <w:r>
        <w:t>越限设备及越限程度；</w:t>
      </w:r>
    </w:p>
    <w:p>
      <w:pPr>
        <w:pStyle w:val="53"/>
        <w:numPr>
          <w:ilvl w:val="0"/>
          <w:numId w:val="73"/>
        </w:numPr>
        <w:spacing w:line="300" w:lineRule="auto"/>
        <w:ind w:firstLineChars="0"/>
      </w:pPr>
      <w:r>
        <w:t>地理接线图上过载和越限设备的可视化显示。</w:t>
      </w:r>
    </w:p>
    <w:p>
      <w:pPr>
        <w:spacing w:line="300" w:lineRule="auto"/>
        <w:ind w:firstLine="480"/>
      </w:pPr>
      <w:r>
        <w:t>针对静态安全分析功能，应提供：</w:t>
      </w:r>
    </w:p>
    <w:p>
      <w:pPr>
        <w:pStyle w:val="53"/>
        <w:numPr>
          <w:ilvl w:val="0"/>
          <w:numId w:val="74"/>
        </w:numPr>
        <w:spacing w:line="300" w:lineRule="auto"/>
        <w:ind w:firstLineChars="0"/>
      </w:pPr>
      <w:r>
        <w:t>导致过载和越限的故障及相应的过载和越限设备；</w:t>
      </w:r>
    </w:p>
    <w:p>
      <w:pPr>
        <w:pStyle w:val="53"/>
        <w:numPr>
          <w:ilvl w:val="0"/>
          <w:numId w:val="74"/>
        </w:numPr>
        <w:spacing w:line="300" w:lineRule="auto"/>
        <w:ind w:firstLineChars="0"/>
      </w:pPr>
      <w:r>
        <w:t>故障严重程度指标。</w:t>
      </w:r>
    </w:p>
    <w:p>
      <w:pPr>
        <w:pStyle w:val="4"/>
      </w:pPr>
      <w:bookmarkStart w:id="139" w:name="_Toc511389223"/>
      <w:r>
        <w:t>接口要求</w:t>
      </w:r>
      <w:bookmarkEnd w:id="139"/>
    </w:p>
    <w:p>
      <w:pPr>
        <w:pStyle w:val="5"/>
        <w:rPr>
          <w:rFonts w:ascii="Times New Roman" w:hAnsi="Times New Roman"/>
        </w:rPr>
      </w:pPr>
      <w:r>
        <w:rPr>
          <w:rFonts w:ascii="Times New Roman" w:hAnsi="Times New Roman"/>
        </w:rPr>
        <w:t>数据输入</w:t>
      </w:r>
    </w:p>
    <w:p>
      <w:pPr>
        <w:pStyle w:val="53"/>
        <w:numPr>
          <w:ilvl w:val="0"/>
          <w:numId w:val="75"/>
        </w:numPr>
        <w:spacing w:line="300" w:lineRule="auto"/>
        <w:ind w:firstLineChars="0"/>
      </w:pPr>
      <w:r>
        <w:t>从EMS等系统获取电网模型、规划数据和相似日历史潮流数据；</w:t>
      </w:r>
    </w:p>
    <w:p>
      <w:pPr>
        <w:pStyle w:val="53"/>
        <w:numPr>
          <w:ilvl w:val="0"/>
          <w:numId w:val="75"/>
        </w:numPr>
        <w:spacing w:line="300" w:lineRule="auto"/>
        <w:ind w:firstLineChars="0"/>
      </w:pPr>
      <w:r>
        <w:t>从EMS等系统获取设备限额（包括线路电流限额、输电断面限额、变压器容量限额和母线电压限额）、静态安全分析故障集等信息；</w:t>
      </w:r>
    </w:p>
    <w:p>
      <w:pPr>
        <w:pStyle w:val="53"/>
        <w:numPr>
          <w:ilvl w:val="0"/>
          <w:numId w:val="75"/>
        </w:numPr>
        <w:spacing w:line="300" w:lineRule="auto"/>
        <w:ind w:firstLineChars="0"/>
      </w:pPr>
      <w:r>
        <w:t>从EMS等系统获取系统负荷预测、母线负荷预测、检修计划、联络线计划、机组出力计划等信息。</w:t>
      </w:r>
    </w:p>
    <w:p>
      <w:pPr>
        <w:pStyle w:val="5"/>
        <w:rPr>
          <w:rFonts w:ascii="Times New Roman" w:hAnsi="Times New Roman"/>
        </w:rPr>
      </w:pPr>
      <w:r>
        <w:rPr>
          <w:rFonts w:ascii="Times New Roman" w:hAnsi="Times New Roman"/>
        </w:rPr>
        <w:t>数据输出</w:t>
      </w:r>
    </w:p>
    <w:p>
      <w:pPr>
        <w:spacing w:line="300" w:lineRule="auto"/>
        <w:ind w:firstLine="480" w:firstLineChars="200"/>
      </w:pPr>
      <w:r>
        <w:t>基态潮流分析、静态安全分析的重载、越限信息和灵敏度分析信息</w:t>
      </w:r>
    </w:p>
    <w:p/>
    <w:p>
      <w:pPr>
        <w:pStyle w:val="3"/>
      </w:pPr>
      <w:bookmarkStart w:id="140" w:name="_Toc502677669"/>
      <w:bookmarkEnd w:id="140"/>
      <w:bookmarkStart w:id="141" w:name="_Toc502677673"/>
      <w:bookmarkEnd w:id="141"/>
      <w:bookmarkStart w:id="142" w:name="_Toc502677676"/>
      <w:bookmarkEnd w:id="142"/>
      <w:bookmarkStart w:id="143" w:name="_Toc502677677"/>
      <w:bookmarkEnd w:id="143"/>
      <w:bookmarkStart w:id="144" w:name="_Toc502677678"/>
      <w:bookmarkEnd w:id="144"/>
      <w:bookmarkStart w:id="145" w:name="_Toc502677670"/>
      <w:bookmarkEnd w:id="145"/>
      <w:bookmarkStart w:id="146" w:name="_Toc502677674"/>
      <w:bookmarkEnd w:id="146"/>
      <w:bookmarkStart w:id="147" w:name="_Toc502677675"/>
      <w:bookmarkEnd w:id="147"/>
      <w:bookmarkStart w:id="148" w:name="_Toc502677680"/>
      <w:bookmarkEnd w:id="148"/>
      <w:bookmarkStart w:id="149" w:name="_Toc502677682"/>
      <w:bookmarkEnd w:id="149"/>
      <w:bookmarkStart w:id="150" w:name="_Toc502677684"/>
      <w:bookmarkEnd w:id="150"/>
      <w:bookmarkStart w:id="151" w:name="_Toc502677663"/>
      <w:bookmarkEnd w:id="151"/>
      <w:bookmarkStart w:id="152" w:name="_Toc502677662"/>
      <w:bookmarkEnd w:id="152"/>
      <w:bookmarkStart w:id="153" w:name="_Toc502677668"/>
      <w:bookmarkEnd w:id="153"/>
      <w:bookmarkStart w:id="154" w:name="_Toc502677666"/>
      <w:bookmarkEnd w:id="154"/>
      <w:bookmarkStart w:id="155" w:name="_Toc502677672"/>
      <w:bookmarkEnd w:id="155"/>
      <w:bookmarkStart w:id="156" w:name="_Toc502677679"/>
      <w:bookmarkEnd w:id="156"/>
      <w:bookmarkStart w:id="157" w:name="_Toc502677681"/>
      <w:bookmarkEnd w:id="157"/>
      <w:bookmarkStart w:id="158" w:name="_Toc502677687"/>
      <w:bookmarkEnd w:id="158"/>
      <w:bookmarkStart w:id="159" w:name="_Toc502677688"/>
      <w:bookmarkEnd w:id="159"/>
      <w:bookmarkStart w:id="160" w:name="_Toc502677689"/>
      <w:bookmarkEnd w:id="160"/>
      <w:bookmarkStart w:id="161" w:name="_Toc502677667"/>
      <w:bookmarkEnd w:id="161"/>
      <w:bookmarkStart w:id="162" w:name="_Toc502677690"/>
      <w:bookmarkEnd w:id="162"/>
      <w:bookmarkStart w:id="163" w:name="_Toc502677683"/>
      <w:bookmarkEnd w:id="163"/>
      <w:bookmarkStart w:id="164" w:name="_Toc502677671"/>
      <w:bookmarkEnd w:id="164"/>
      <w:bookmarkStart w:id="165" w:name="_Toc502677691"/>
      <w:bookmarkEnd w:id="165"/>
      <w:bookmarkStart w:id="166" w:name="_Toc502677661"/>
      <w:bookmarkEnd w:id="166"/>
      <w:bookmarkStart w:id="167" w:name="_Toc502677665"/>
      <w:bookmarkEnd w:id="167"/>
      <w:bookmarkStart w:id="168" w:name="_Toc502677664"/>
      <w:bookmarkEnd w:id="168"/>
      <w:bookmarkStart w:id="169" w:name="_Toc502677685"/>
      <w:bookmarkEnd w:id="169"/>
      <w:bookmarkStart w:id="170" w:name="_Toc502677686"/>
      <w:bookmarkEnd w:id="170"/>
      <w:bookmarkStart w:id="171" w:name="_Toc502677722"/>
      <w:bookmarkEnd w:id="171"/>
      <w:bookmarkStart w:id="172" w:name="_Toc502677723"/>
      <w:bookmarkEnd w:id="172"/>
      <w:bookmarkStart w:id="173" w:name="_Toc502677693"/>
      <w:bookmarkEnd w:id="173"/>
      <w:bookmarkStart w:id="174" w:name="_Toc502677712"/>
      <w:bookmarkEnd w:id="174"/>
      <w:bookmarkStart w:id="175" w:name="_Toc502677720"/>
      <w:bookmarkEnd w:id="175"/>
      <w:bookmarkStart w:id="176" w:name="_Toc502677701"/>
      <w:bookmarkEnd w:id="176"/>
      <w:bookmarkStart w:id="177" w:name="_Toc502677702"/>
      <w:bookmarkEnd w:id="177"/>
      <w:bookmarkStart w:id="178" w:name="_Toc502677703"/>
      <w:bookmarkEnd w:id="178"/>
      <w:bookmarkStart w:id="179" w:name="_Toc502677696"/>
      <w:bookmarkEnd w:id="179"/>
      <w:bookmarkStart w:id="180" w:name="_Toc502677704"/>
      <w:bookmarkEnd w:id="180"/>
      <w:bookmarkStart w:id="181" w:name="_Toc502677706"/>
      <w:bookmarkEnd w:id="181"/>
      <w:bookmarkStart w:id="182" w:name="_Toc502677715"/>
      <w:bookmarkEnd w:id="182"/>
      <w:bookmarkStart w:id="183" w:name="_Toc502677708"/>
      <w:bookmarkEnd w:id="183"/>
      <w:bookmarkStart w:id="184" w:name="_Toc502677700"/>
      <w:bookmarkEnd w:id="184"/>
      <w:bookmarkStart w:id="185" w:name="_Toc502677698"/>
      <w:bookmarkEnd w:id="185"/>
      <w:bookmarkStart w:id="186" w:name="_Toc502677694"/>
      <w:bookmarkEnd w:id="186"/>
      <w:bookmarkStart w:id="187" w:name="_Toc502677711"/>
      <w:bookmarkEnd w:id="187"/>
      <w:bookmarkStart w:id="188" w:name="_Toc502677716"/>
      <w:bookmarkEnd w:id="188"/>
      <w:bookmarkStart w:id="189" w:name="_Toc502677717"/>
      <w:bookmarkEnd w:id="189"/>
      <w:bookmarkStart w:id="190" w:name="_Toc502677699"/>
      <w:bookmarkEnd w:id="190"/>
      <w:bookmarkStart w:id="191" w:name="_Toc502677718"/>
      <w:bookmarkEnd w:id="191"/>
      <w:bookmarkStart w:id="192" w:name="_Toc502677692"/>
      <w:bookmarkEnd w:id="192"/>
      <w:bookmarkStart w:id="193" w:name="_Toc502677719"/>
      <w:bookmarkEnd w:id="193"/>
      <w:bookmarkStart w:id="194" w:name="_Toc502677697"/>
      <w:bookmarkEnd w:id="194"/>
      <w:bookmarkStart w:id="195" w:name="_Toc502677695"/>
      <w:bookmarkEnd w:id="195"/>
      <w:bookmarkStart w:id="196" w:name="_Toc502677709"/>
      <w:bookmarkEnd w:id="196"/>
      <w:bookmarkStart w:id="197" w:name="_Toc502677710"/>
      <w:bookmarkEnd w:id="197"/>
      <w:bookmarkStart w:id="198" w:name="_Toc502677705"/>
      <w:bookmarkEnd w:id="198"/>
      <w:bookmarkStart w:id="199" w:name="_Toc502677707"/>
      <w:bookmarkEnd w:id="199"/>
      <w:bookmarkStart w:id="200" w:name="_Toc502677713"/>
      <w:bookmarkEnd w:id="200"/>
      <w:bookmarkStart w:id="201" w:name="_Toc502677714"/>
      <w:bookmarkEnd w:id="201"/>
      <w:bookmarkStart w:id="202" w:name="_Toc502677721"/>
      <w:bookmarkEnd w:id="202"/>
      <w:bookmarkStart w:id="203" w:name="_Toc502677731"/>
      <w:bookmarkEnd w:id="203"/>
      <w:bookmarkStart w:id="204" w:name="_Toc502677724"/>
      <w:bookmarkEnd w:id="204"/>
      <w:bookmarkStart w:id="205" w:name="_Toc502677729"/>
      <w:bookmarkEnd w:id="205"/>
      <w:bookmarkStart w:id="206" w:name="_Toc502677730"/>
      <w:bookmarkEnd w:id="206"/>
      <w:bookmarkStart w:id="207" w:name="_Toc502677726"/>
      <w:bookmarkEnd w:id="207"/>
      <w:bookmarkStart w:id="208" w:name="_Toc502677727"/>
      <w:bookmarkEnd w:id="208"/>
      <w:bookmarkStart w:id="209" w:name="_Toc502677728"/>
      <w:bookmarkEnd w:id="209"/>
      <w:bookmarkStart w:id="210" w:name="_Toc502677732"/>
      <w:bookmarkEnd w:id="210"/>
      <w:bookmarkStart w:id="211" w:name="_Toc502677725"/>
      <w:bookmarkEnd w:id="211"/>
      <w:bookmarkStart w:id="212" w:name="_Toc470882062"/>
      <w:bookmarkStart w:id="213" w:name="_Toc500597446"/>
      <w:bookmarkStart w:id="214" w:name="_Toc471053255"/>
      <w:bookmarkStart w:id="215" w:name="_Toc479524906"/>
      <w:bookmarkStart w:id="216" w:name="_Toc511389224"/>
      <w:bookmarkStart w:id="217" w:name="_Toc470882251"/>
      <w:r>
        <w:t>市场评估分析</w:t>
      </w:r>
      <w:bookmarkEnd w:id="212"/>
      <w:bookmarkEnd w:id="213"/>
      <w:bookmarkEnd w:id="214"/>
      <w:bookmarkEnd w:id="215"/>
      <w:bookmarkEnd w:id="216"/>
      <w:bookmarkEnd w:id="217"/>
    </w:p>
    <w:p>
      <w:pPr>
        <w:spacing w:line="300" w:lineRule="auto"/>
        <w:ind w:firstLine="480"/>
      </w:pPr>
      <w:r>
        <w:t>市场评估分析是基于电力现货市场运营、电网运行、市场注册、市场结算、市场成员行为记录等数据，从市场结构、市场安全、市场运营、市场效益、调度运行等多方面对市场进行评估分析。可根据电力市场的交易记录、成交电量、电费以及市场供需情况对市场的交易进行统计、分析及测算。评估市场运营的状况，提供电力现货市场成员损益报告、市场风险报告，</w:t>
      </w:r>
      <w:r>
        <w:rPr>
          <w:rFonts w:hint="eastAsia"/>
        </w:rPr>
        <w:t>为市场成员参与市场，以及电力市场交易规则的修正提供参考</w:t>
      </w:r>
      <w:r>
        <w:t>。</w:t>
      </w:r>
    </w:p>
    <w:p>
      <w:pPr>
        <w:pStyle w:val="4"/>
      </w:pPr>
      <w:bookmarkStart w:id="218" w:name="_Toc511389225"/>
      <w:r>
        <w:t>功能要求</w:t>
      </w:r>
      <w:bookmarkEnd w:id="218"/>
    </w:p>
    <w:p>
      <w:pPr>
        <w:pStyle w:val="53"/>
        <w:numPr>
          <w:ilvl w:val="0"/>
          <w:numId w:val="76"/>
        </w:numPr>
        <w:spacing w:line="300" w:lineRule="auto"/>
        <w:ind w:firstLineChars="0"/>
      </w:pPr>
      <w:r>
        <w:t>具备市场结构评估分析功能，包括三寡头测试、市场集中度（HHI）、供应剩余率（RSI）、市场竞争空间等指标分析；</w:t>
      </w:r>
    </w:p>
    <w:p>
      <w:pPr>
        <w:pStyle w:val="53"/>
        <w:numPr>
          <w:ilvl w:val="0"/>
          <w:numId w:val="76"/>
        </w:numPr>
        <w:spacing w:line="300" w:lineRule="auto"/>
        <w:ind w:firstLineChars="0"/>
      </w:pPr>
      <w:r>
        <w:t>具备市场安全性评估分析功能，包括短期安全性指标分析、长期性安全性指标分析、发电容量充裕度分析、输电容量充裕度分析等；</w:t>
      </w:r>
    </w:p>
    <w:p>
      <w:pPr>
        <w:pStyle w:val="53"/>
        <w:numPr>
          <w:ilvl w:val="0"/>
          <w:numId w:val="76"/>
        </w:numPr>
        <w:spacing w:line="300" w:lineRule="auto"/>
        <w:ind w:firstLineChars="0"/>
      </w:pPr>
      <w:r>
        <w:t>具备市场运营评估分析功能，包括市场申报参量指标分析、供需指标分析和成交指标分析等；</w:t>
      </w:r>
    </w:p>
    <w:p>
      <w:pPr>
        <w:pStyle w:val="53"/>
        <w:numPr>
          <w:ilvl w:val="0"/>
          <w:numId w:val="76"/>
        </w:numPr>
        <w:spacing w:line="300" w:lineRule="auto"/>
        <w:ind w:firstLineChars="0"/>
      </w:pPr>
      <w:r>
        <w:t>具备市场效益评估分析功能，包括现电价类指标分析、节能减排指标分析、容量利用率指标分析、市场成员损益计算分析等；</w:t>
      </w:r>
    </w:p>
    <w:p>
      <w:pPr>
        <w:pStyle w:val="53"/>
        <w:numPr>
          <w:ilvl w:val="0"/>
          <w:numId w:val="76"/>
        </w:numPr>
        <w:spacing w:line="300" w:lineRule="auto"/>
        <w:ind w:firstLineChars="0"/>
      </w:pPr>
      <w:r>
        <w:t>具备调度运行指标分析功能，包括预测准确率、计划执行情况、机组调节性能指标、启停履约率等指标分析；</w:t>
      </w:r>
    </w:p>
    <w:p>
      <w:pPr>
        <w:pStyle w:val="53"/>
        <w:numPr>
          <w:ilvl w:val="0"/>
          <w:numId w:val="76"/>
        </w:numPr>
        <w:spacing w:line="300" w:lineRule="auto"/>
        <w:ind w:firstLineChars="0"/>
      </w:pPr>
      <w:r>
        <w:t>具备用户用电曲线监测功能，包括居民用户、大用户、售电</w:t>
      </w:r>
      <w:r>
        <w:rPr>
          <w:rFonts w:hint="eastAsia"/>
        </w:rPr>
        <w:t>企业</w:t>
      </w:r>
      <w:r>
        <w:t>等不同类型用户用电曲线及电量</w:t>
      </w:r>
      <w:r>
        <w:rPr>
          <w:rFonts w:hint="eastAsia"/>
        </w:rPr>
        <w:t>监测</w:t>
      </w:r>
      <w:r>
        <w:t>分析功能；</w:t>
      </w:r>
    </w:p>
    <w:p>
      <w:pPr>
        <w:pStyle w:val="53"/>
        <w:numPr>
          <w:ilvl w:val="0"/>
          <w:numId w:val="76"/>
        </w:numPr>
        <w:spacing w:line="300" w:lineRule="auto"/>
        <w:ind w:firstLineChars="0"/>
      </w:pPr>
      <w:r>
        <w:t>辅助服务费用的测算与评估等。</w:t>
      </w:r>
    </w:p>
    <w:p>
      <w:pPr>
        <w:pStyle w:val="4"/>
      </w:pPr>
      <w:bookmarkStart w:id="219" w:name="_Toc511389226"/>
      <w:r>
        <w:t>界面要求</w:t>
      </w:r>
      <w:bookmarkEnd w:id="219"/>
    </w:p>
    <w:p>
      <w:pPr>
        <w:pStyle w:val="53"/>
        <w:numPr>
          <w:ilvl w:val="0"/>
          <w:numId w:val="77"/>
        </w:numPr>
        <w:spacing w:line="300" w:lineRule="auto"/>
        <w:ind w:firstLineChars="0"/>
      </w:pPr>
      <w:r>
        <w:t>支持对</w:t>
      </w:r>
      <w:r>
        <w:rPr>
          <w:rFonts w:hint="eastAsia"/>
        </w:rPr>
        <w:t>市场主体的发用电曲线监测</w:t>
      </w:r>
      <w:r>
        <w:t>；</w:t>
      </w:r>
    </w:p>
    <w:p>
      <w:pPr>
        <w:pStyle w:val="53"/>
        <w:numPr>
          <w:ilvl w:val="0"/>
          <w:numId w:val="77"/>
        </w:numPr>
        <w:spacing w:line="300" w:lineRule="auto"/>
        <w:ind w:firstLineChars="0"/>
      </w:pPr>
      <w:r>
        <w:t>支持曲线、棒图、饼图等多种形式展示市场评估分析结果；</w:t>
      </w:r>
    </w:p>
    <w:p>
      <w:pPr>
        <w:pStyle w:val="53"/>
        <w:numPr>
          <w:ilvl w:val="0"/>
          <w:numId w:val="77"/>
        </w:numPr>
        <w:spacing w:line="300" w:lineRule="auto"/>
        <w:ind w:firstLineChars="0"/>
      </w:pPr>
      <w:r>
        <w:t>支持评估分析结果标准化导出、打印。</w:t>
      </w:r>
    </w:p>
    <w:p>
      <w:pPr>
        <w:pStyle w:val="4"/>
      </w:pPr>
      <w:bookmarkStart w:id="220" w:name="_Toc511389227"/>
      <w:r>
        <w:t>接口要求</w:t>
      </w:r>
      <w:bookmarkEnd w:id="220"/>
    </w:p>
    <w:p>
      <w:pPr>
        <w:pStyle w:val="5"/>
        <w:rPr>
          <w:rFonts w:ascii="Times New Roman" w:hAnsi="Times New Roman"/>
        </w:rPr>
      </w:pPr>
      <w:r>
        <w:rPr>
          <w:rFonts w:ascii="Times New Roman" w:hAnsi="Times New Roman"/>
        </w:rPr>
        <w:t>数据输入</w:t>
      </w:r>
    </w:p>
    <w:p>
      <w:pPr>
        <w:pStyle w:val="53"/>
        <w:numPr>
          <w:ilvl w:val="0"/>
          <w:numId w:val="78"/>
        </w:numPr>
        <w:spacing w:line="300" w:lineRule="auto"/>
        <w:ind w:firstLineChars="0"/>
      </w:pPr>
      <w:r>
        <w:t>从EMS系统获取电网实际运行数据；</w:t>
      </w:r>
    </w:p>
    <w:p>
      <w:pPr>
        <w:pStyle w:val="53"/>
        <w:numPr>
          <w:ilvl w:val="0"/>
          <w:numId w:val="78"/>
        </w:numPr>
        <w:spacing w:line="300" w:lineRule="auto"/>
        <w:ind w:firstLineChars="0"/>
      </w:pPr>
      <w:r>
        <w:t>从市场申报读取市场申报数据；</w:t>
      </w:r>
    </w:p>
    <w:p>
      <w:pPr>
        <w:pStyle w:val="53"/>
        <w:numPr>
          <w:ilvl w:val="0"/>
          <w:numId w:val="78"/>
        </w:numPr>
        <w:spacing w:line="300" w:lineRule="auto"/>
        <w:ind w:firstLineChars="0"/>
      </w:pPr>
      <w:r>
        <w:t>从结算系统读取市场结算数据；</w:t>
      </w:r>
    </w:p>
    <w:p>
      <w:pPr>
        <w:pStyle w:val="53"/>
        <w:numPr>
          <w:ilvl w:val="0"/>
          <w:numId w:val="78"/>
        </w:numPr>
        <w:spacing w:line="300" w:lineRule="auto"/>
        <w:ind w:firstLineChars="0"/>
      </w:pPr>
      <w:r>
        <w:t>从中长期合同管理读取日交易曲线；</w:t>
      </w:r>
    </w:p>
    <w:p>
      <w:pPr>
        <w:pStyle w:val="53"/>
        <w:numPr>
          <w:ilvl w:val="0"/>
          <w:numId w:val="78"/>
        </w:numPr>
        <w:spacing w:line="300" w:lineRule="auto"/>
        <w:ind w:firstLineChars="0"/>
      </w:pPr>
      <w:r>
        <w:t>从日前市场、日内市场、平衡机制</w:t>
      </w:r>
      <w:r>
        <w:rPr>
          <w:rFonts w:hint="eastAsia"/>
        </w:rPr>
        <w:t>、</w:t>
      </w:r>
      <w:r>
        <w:t>辅助服务市场读取市场出清结果。</w:t>
      </w:r>
    </w:p>
    <w:p>
      <w:pPr>
        <w:pStyle w:val="5"/>
        <w:rPr>
          <w:rFonts w:ascii="Times New Roman" w:hAnsi="Times New Roman"/>
        </w:rPr>
      </w:pPr>
      <w:r>
        <w:rPr>
          <w:rFonts w:ascii="Times New Roman" w:hAnsi="Times New Roman"/>
        </w:rPr>
        <w:t>数据输出</w:t>
      </w:r>
    </w:p>
    <w:p>
      <w:pPr>
        <w:pStyle w:val="53"/>
        <w:numPr>
          <w:ilvl w:val="0"/>
          <w:numId w:val="79"/>
        </w:numPr>
        <w:spacing w:line="300" w:lineRule="auto"/>
        <w:ind w:firstLineChars="0"/>
      </w:pPr>
      <w:r>
        <w:t>输出市场评估分析结果，并针对不同市场</w:t>
      </w:r>
      <w:r>
        <w:rPr>
          <w:rFonts w:hint="eastAsia"/>
        </w:rPr>
        <w:t>成员</w:t>
      </w:r>
      <w:r>
        <w:t>，由</w:t>
      </w:r>
      <w:r>
        <w:rPr>
          <w:rFonts w:hint="eastAsia"/>
        </w:rPr>
        <w:t>信息</w:t>
      </w:r>
      <w:r>
        <w:t>发布</w:t>
      </w:r>
      <w:r>
        <w:rPr>
          <w:rFonts w:hint="eastAsia"/>
        </w:rPr>
        <w:t>子系统</w:t>
      </w:r>
      <w:r>
        <w:t>负责对外发布；</w:t>
      </w:r>
    </w:p>
    <w:p>
      <w:pPr>
        <w:pStyle w:val="53"/>
        <w:numPr>
          <w:ilvl w:val="0"/>
          <w:numId w:val="79"/>
        </w:numPr>
        <w:spacing w:line="300" w:lineRule="auto"/>
        <w:ind w:firstLineChars="0"/>
      </w:pPr>
      <w:r>
        <w:t>支持对指标评估分析功能进行服务封装，提供评估分析的服务调用接口。</w:t>
      </w:r>
    </w:p>
    <w:p>
      <w:pPr>
        <w:spacing w:line="300" w:lineRule="auto"/>
        <w:ind w:firstLine="480"/>
      </w:pPr>
    </w:p>
    <w:p>
      <w:pPr>
        <w:pStyle w:val="3"/>
      </w:pPr>
      <w:bookmarkStart w:id="221" w:name="_Toc511389228"/>
      <w:r>
        <w:t>市场风险管控</w:t>
      </w:r>
      <w:bookmarkEnd w:id="221"/>
    </w:p>
    <w:p>
      <w:pPr>
        <w:spacing w:line="300" w:lineRule="auto"/>
        <w:ind w:firstLine="480"/>
      </w:pPr>
      <w:r>
        <w:t>现货市场中的风险管控要求研究风险发生和变化的规律，评估风险对社会经济生活可能造成的损害程度，并选择有效的手段，有计划有目的</w:t>
      </w:r>
      <w:r>
        <w:rPr>
          <w:rFonts w:hint="eastAsia"/>
        </w:rPr>
        <w:t>地</w:t>
      </w:r>
      <w:r>
        <w:t>处理风险，以期望用最小的成本代价，获得最大的安全保证。</w:t>
      </w:r>
    </w:p>
    <w:p>
      <w:pPr>
        <w:pStyle w:val="4"/>
      </w:pPr>
      <w:bookmarkStart w:id="222" w:name="_Toc511389229"/>
      <w:r>
        <w:t>功能要求</w:t>
      </w:r>
      <w:bookmarkEnd w:id="222"/>
    </w:p>
    <w:p>
      <w:pPr>
        <w:pStyle w:val="5"/>
        <w:tabs>
          <w:tab w:val="left" w:pos="864"/>
        </w:tabs>
        <w:spacing w:line="240" w:lineRule="auto"/>
        <w:rPr>
          <w:rFonts w:ascii="Times New Roman" w:hAnsi="Times New Roman"/>
        </w:rPr>
      </w:pPr>
      <w:r>
        <w:rPr>
          <w:rFonts w:ascii="Times New Roman" w:hAnsi="Times New Roman"/>
        </w:rPr>
        <w:t>风险识别</w:t>
      </w:r>
    </w:p>
    <w:p>
      <w:pPr>
        <w:spacing w:line="300" w:lineRule="auto"/>
        <w:ind w:firstLine="480" w:firstLineChars="200"/>
      </w:pPr>
      <w:r>
        <w:t>风险识别功能包含风险指标和权重的设置，风险指标计算功能。系统支持电力市场风险指标分析识别，包括但不限于：</w:t>
      </w:r>
    </w:p>
    <w:p>
      <w:pPr>
        <w:pStyle w:val="53"/>
        <w:numPr>
          <w:ilvl w:val="0"/>
          <w:numId w:val="80"/>
        </w:numPr>
        <w:spacing w:line="300" w:lineRule="auto"/>
        <w:ind w:firstLineChars="0"/>
      </w:pPr>
      <w:r>
        <w:t>支持供需风险指标分析识别，包含可用容量指标、市场供需弹性、备用容量水平指标分析等；</w:t>
      </w:r>
    </w:p>
    <w:p>
      <w:pPr>
        <w:pStyle w:val="53"/>
        <w:numPr>
          <w:ilvl w:val="0"/>
          <w:numId w:val="80"/>
        </w:numPr>
        <w:spacing w:line="300" w:lineRule="auto"/>
        <w:ind w:firstLineChars="0"/>
      </w:pPr>
      <w:r>
        <w:t>支持市场力风险指标分析识别，包含三寡头测试、HHI指数、Lerner指数分析等；</w:t>
      </w:r>
    </w:p>
    <w:p>
      <w:pPr>
        <w:pStyle w:val="53"/>
        <w:numPr>
          <w:ilvl w:val="0"/>
          <w:numId w:val="80"/>
        </w:numPr>
        <w:spacing w:line="300" w:lineRule="auto"/>
        <w:ind w:firstLineChars="0"/>
      </w:pPr>
      <w:r>
        <w:t>支持交易风险指标分析识别，包含电价平稳性指标、竞价风险指标分析；</w:t>
      </w:r>
    </w:p>
    <w:p>
      <w:pPr>
        <w:pStyle w:val="53"/>
        <w:numPr>
          <w:ilvl w:val="0"/>
          <w:numId w:val="80"/>
        </w:numPr>
        <w:spacing w:line="300" w:lineRule="auto"/>
        <w:ind w:firstLineChars="0"/>
      </w:pPr>
      <w:r>
        <w:t>支持电网安全风险指标分析识别，包含阻塞成本、输电容量富裕度、辅助服务风险指标分析；</w:t>
      </w:r>
    </w:p>
    <w:p>
      <w:pPr>
        <w:pStyle w:val="53"/>
        <w:numPr>
          <w:ilvl w:val="0"/>
          <w:numId w:val="80"/>
        </w:numPr>
        <w:spacing w:line="300" w:lineRule="auto"/>
        <w:ind w:firstLineChars="0"/>
      </w:pPr>
      <w:r>
        <w:t>支持电力市场价格风险识别。</w:t>
      </w:r>
    </w:p>
    <w:p>
      <w:pPr>
        <w:pStyle w:val="5"/>
        <w:tabs>
          <w:tab w:val="left" w:pos="864"/>
        </w:tabs>
        <w:spacing w:line="240" w:lineRule="auto"/>
        <w:rPr>
          <w:rFonts w:ascii="Times New Roman" w:hAnsi="Times New Roman"/>
        </w:rPr>
      </w:pPr>
      <w:bookmarkStart w:id="223" w:name="_Toc509387907"/>
      <w:r>
        <w:rPr>
          <w:rFonts w:ascii="Times New Roman" w:hAnsi="Times New Roman"/>
        </w:rPr>
        <w:t>风险预警</w:t>
      </w:r>
      <w:bookmarkEnd w:id="223"/>
    </w:p>
    <w:p>
      <w:pPr>
        <w:pStyle w:val="53"/>
        <w:numPr>
          <w:ilvl w:val="0"/>
          <w:numId w:val="81"/>
        </w:numPr>
        <w:spacing w:line="300" w:lineRule="auto"/>
        <w:ind w:firstLineChars="0"/>
      </w:pPr>
      <w:r>
        <w:t>支持单一指标自动计算分析功能，当监控指标超过预先设定值时，告警；</w:t>
      </w:r>
    </w:p>
    <w:p>
      <w:pPr>
        <w:pStyle w:val="53"/>
        <w:numPr>
          <w:ilvl w:val="0"/>
          <w:numId w:val="81"/>
        </w:numPr>
        <w:spacing w:line="300" w:lineRule="auto"/>
        <w:ind w:firstLineChars="0"/>
      </w:pPr>
      <w:r>
        <w:t>支持综合指标自动计算分析功能，当综合指标超过预先设定值时，告警；</w:t>
      </w:r>
    </w:p>
    <w:p>
      <w:pPr>
        <w:pStyle w:val="53"/>
        <w:numPr>
          <w:ilvl w:val="0"/>
          <w:numId w:val="81"/>
        </w:numPr>
        <w:spacing w:line="300" w:lineRule="auto"/>
        <w:ind w:firstLineChars="0"/>
      </w:pPr>
      <w:r>
        <w:t>支持单一指标和综合指标手动计算分析功能；</w:t>
      </w:r>
    </w:p>
    <w:p>
      <w:pPr>
        <w:pStyle w:val="53"/>
        <w:numPr>
          <w:ilvl w:val="0"/>
          <w:numId w:val="81"/>
        </w:numPr>
        <w:spacing w:line="300" w:lineRule="auto"/>
        <w:ind w:firstLineChars="0"/>
      </w:pPr>
      <w:r>
        <w:t>支持多种告警方式，并可以选择设置。</w:t>
      </w:r>
    </w:p>
    <w:p>
      <w:pPr>
        <w:pStyle w:val="5"/>
        <w:tabs>
          <w:tab w:val="left" w:pos="864"/>
        </w:tabs>
        <w:spacing w:line="240" w:lineRule="auto"/>
        <w:rPr>
          <w:rFonts w:ascii="Times New Roman" w:hAnsi="Times New Roman"/>
        </w:rPr>
      </w:pPr>
      <w:bookmarkStart w:id="224" w:name="_Toc509387908"/>
      <w:r>
        <w:rPr>
          <w:rFonts w:ascii="Times New Roman" w:hAnsi="Times New Roman"/>
        </w:rPr>
        <w:t>风险管控</w:t>
      </w:r>
      <w:bookmarkEnd w:id="224"/>
    </w:p>
    <w:p>
      <w:pPr>
        <w:pStyle w:val="53"/>
        <w:numPr>
          <w:ilvl w:val="0"/>
          <w:numId w:val="82"/>
        </w:numPr>
        <w:spacing w:line="300" w:lineRule="auto"/>
        <w:ind w:firstLineChars="0"/>
      </w:pPr>
      <w:r>
        <w:t>支持阻塞管理功能，阻塞管理作为市场优化模型一部分，在日前和日内市场出清过程中充分考虑阻塞管理；</w:t>
      </w:r>
    </w:p>
    <w:p>
      <w:pPr>
        <w:pStyle w:val="53"/>
        <w:numPr>
          <w:ilvl w:val="0"/>
          <w:numId w:val="82"/>
        </w:numPr>
        <w:spacing w:line="300" w:lineRule="auto"/>
        <w:ind w:firstLineChars="0"/>
      </w:pPr>
      <w:r>
        <w:t>支持市场成员行为测试，测试某一电源的投标价格是否超过其参考价格，达到预先设定门槛；</w:t>
      </w:r>
    </w:p>
    <w:p>
      <w:pPr>
        <w:pStyle w:val="53"/>
        <w:numPr>
          <w:ilvl w:val="0"/>
          <w:numId w:val="82"/>
        </w:numPr>
        <w:spacing w:line="300" w:lineRule="auto"/>
        <w:ind w:firstLineChars="0"/>
      </w:pPr>
      <w:r>
        <w:t>支持市场成员影响测试，测试该电源投标对能量市场出清价格的影响，如果某一电源投标未能通过行为测试，且其影响测试超过了预先设定的门槛，则使用参考价格代替该电源投标价格；</w:t>
      </w:r>
    </w:p>
    <w:p>
      <w:pPr>
        <w:pStyle w:val="53"/>
        <w:numPr>
          <w:ilvl w:val="0"/>
          <w:numId w:val="82"/>
        </w:numPr>
        <w:spacing w:line="300" w:lineRule="auto"/>
        <w:ind w:firstLineChars="0"/>
      </w:pPr>
      <w:r>
        <w:t>支持市场力消除程序功能，能够根据检测结果消除市场力引发的风险。</w:t>
      </w:r>
    </w:p>
    <w:p>
      <w:pPr>
        <w:pStyle w:val="4"/>
      </w:pPr>
      <w:bookmarkStart w:id="225" w:name="_Toc511389230"/>
      <w:r>
        <w:t>界面要求</w:t>
      </w:r>
      <w:bookmarkEnd w:id="225"/>
    </w:p>
    <w:p>
      <w:pPr>
        <w:spacing w:line="300" w:lineRule="auto"/>
        <w:ind w:firstLine="480" w:firstLineChars="200"/>
      </w:pPr>
      <w:r>
        <w:t>应提供丰富友好的人机接口，具体功能如下：</w:t>
      </w:r>
    </w:p>
    <w:p>
      <w:pPr>
        <w:pStyle w:val="53"/>
        <w:numPr>
          <w:ilvl w:val="0"/>
          <w:numId w:val="83"/>
        </w:numPr>
        <w:spacing w:line="300" w:lineRule="auto"/>
        <w:ind w:firstLineChars="0"/>
      </w:pPr>
      <w:r>
        <w:t>应支持市场风险评估指标设置、限值设置、权重设置，报警方式设置等界面；</w:t>
      </w:r>
    </w:p>
    <w:p>
      <w:pPr>
        <w:pStyle w:val="53"/>
        <w:numPr>
          <w:ilvl w:val="0"/>
          <w:numId w:val="83"/>
        </w:numPr>
        <w:spacing w:line="300" w:lineRule="auto"/>
        <w:ind w:firstLineChars="0"/>
      </w:pPr>
      <w:r>
        <w:t>应实现市场风险评估指标自动和手动计算功能；</w:t>
      </w:r>
    </w:p>
    <w:p>
      <w:pPr>
        <w:pStyle w:val="53"/>
        <w:numPr>
          <w:ilvl w:val="0"/>
          <w:numId w:val="83"/>
        </w:numPr>
        <w:spacing w:line="300" w:lineRule="auto"/>
        <w:ind w:firstLineChars="0"/>
      </w:pPr>
      <w:r>
        <w:t>应实现风险指标越限告警功能；</w:t>
      </w:r>
    </w:p>
    <w:p>
      <w:pPr>
        <w:pStyle w:val="53"/>
        <w:numPr>
          <w:ilvl w:val="0"/>
          <w:numId w:val="83"/>
        </w:numPr>
        <w:spacing w:line="300" w:lineRule="auto"/>
        <w:ind w:firstLineChars="0"/>
      </w:pPr>
      <w:r>
        <w:t>应实现告警方式设置功能；</w:t>
      </w:r>
    </w:p>
    <w:p>
      <w:pPr>
        <w:pStyle w:val="53"/>
        <w:numPr>
          <w:ilvl w:val="0"/>
          <w:numId w:val="83"/>
        </w:numPr>
        <w:spacing w:line="300" w:lineRule="auto"/>
        <w:ind w:firstLineChars="0"/>
      </w:pPr>
      <w:r>
        <w:t>应实现手动解除告警功能。</w:t>
      </w:r>
    </w:p>
    <w:p>
      <w:pPr>
        <w:pStyle w:val="4"/>
      </w:pPr>
      <w:bookmarkStart w:id="226" w:name="_Toc511389231"/>
      <w:r>
        <w:t>接口要求</w:t>
      </w:r>
      <w:bookmarkEnd w:id="226"/>
    </w:p>
    <w:p>
      <w:pPr>
        <w:pStyle w:val="5"/>
        <w:rPr>
          <w:rFonts w:ascii="Times New Roman" w:hAnsi="Times New Roman"/>
        </w:rPr>
      </w:pPr>
      <w:r>
        <w:rPr>
          <w:rFonts w:ascii="Times New Roman" w:hAnsi="Times New Roman"/>
        </w:rPr>
        <w:t>数据输入</w:t>
      </w:r>
    </w:p>
    <w:p>
      <w:pPr>
        <w:pStyle w:val="53"/>
        <w:numPr>
          <w:ilvl w:val="0"/>
          <w:numId w:val="84"/>
        </w:numPr>
        <w:spacing w:line="300" w:lineRule="auto"/>
        <w:ind w:firstLineChars="0"/>
      </w:pPr>
      <w:r>
        <w:t>从EMS系统获取电网实际运行数据；</w:t>
      </w:r>
    </w:p>
    <w:p>
      <w:pPr>
        <w:pStyle w:val="53"/>
        <w:numPr>
          <w:ilvl w:val="0"/>
          <w:numId w:val="84"/>
        </w:numPr>
        <w:spacing w:line="300" w:lineRule="auto"/>
        <w:ind w:firstLineChars="0"/>
      </w:pPr>
      <w:r>
        <w:t>从市场申报读取市场申报数据；</w:t>
      </w:r>
    </w:p>
    <w:p>
      <w:pPr>
        <w:pStyle w:val="53"/>
        <w:numPr>
          <w:ilvl w:val="0"/>
          <w:numId w:val="84"/>
        </w:numPr>
        <w:spacing w:line="300" w:lineRule="auto"/>
        <w:ind w:firstLineChars="0"/>
      </w:pPr>
      <w:r>
        <w:t>从日前市场、日内市场、平衡机制</w:t>
      </w:r>
      <w:r>
        <w:rPr>
          <w:rFonts w:hint="eastAsia"/>
        </w:rPr>
        <w:t>、</w:t>
      </w:r>
      <w:r>
        <w:t>辅助服务市场读取市场出清结果。</w:t>
      </w:r>
    </w:p>
    <w:p>
      <w:pPr>
        <w:pStyle w:val="5"/>
        <w:rPr>
          <w:rFonts w:ascii="Times New Roman" w:hAnsi="Times New Roman"/>
        </w:rPr>
      </w:pPr>
      <w:r>
        <w:rPr>
          <w:rFonts w:ascii="Times New Roman" w:hAnsi="Times New Roman"/>
        </w:rPr>
        <w:t>数据输出</w:t>
      </w:r>
    </w:p>
    <w:p>
      <w:pPr>
        <w:spacing w:line="300" w:lineRule="auto"/>
        <w:ind w:firstLine="480" w:firstLineChars="200"/>
      </w:pPr>
      <w:r>
        <w:t>输出风险评估结果，并针对不同市场</w:t>
      </w:r>
      <w:r>
        <w:rPr>
          <w:rFonts w:hint="eastAsia"/>
        </w:rPr>
        <w:t>成员</w:t>
      </w:r>
      <w:r>
        <w:t>，由</w:t>
      </w:r>
      <w:r>
        <w:rPr>
          <w:rFonts w:hint="eastAsia"/>
        </w:rPr>
        <w:t>信息发布</w:t>
      </w:r>
      <w:r>
        <w:t>子系统负责对外发布。</w:t>
      </w:r>
    </w:p>
    <w:p/>
    <w:p>
      <w:pPr>
        <w:pStyle w:val="3"/>
      </w:pPr>
      <w:bookmarkStart w:id="227" w:name="_Toc511389232"/>
      <w:bookmarkStart w:id="228" w:name="_Toc509565001"/>
      <w:r>
        <w:t>市场监管</w:t>
      </w:r>
      <w:bookmarkEnd w:id="227"/>
      <w:bookmarkEnd w:id="228"/>
    </w:p>
    <w:p>
      <w:r>
        <w:rPr>
          <w:szCs w:val="21"/>
          <w:lang w:val="sv-SE"/>
        </w:rPr>
        <w:tab/>
      </w:r>
      <w:r>
        <w:rPr>
          <w:szCs w:val="21"/>
          <w:lang w:val="sv-SE"/>
        </w:rPr>
        <w:t>市场监管子系统为</w:t>
      </w:r>
      <w:r>
        <w:rPr>
          <w:color w:val="000000" w:themeColor="text1"/>
          <w14:textFill>
            <w14:solidFill>
              <w14:schemeClr w14:val="tx1"/>
            </w14:solidFill>
          </w14:textFill>
        </w:rPr>
        <w:t>市场监管机构根据有关法律、法规和规章对市场主体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电网运营企业</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市场运营机构及其市场行为进行监督和管理提供技术支持，以实现电力市场竞争的合理、有序、公正、公平和公开。</w:t>
      </w:r>
    </w:p>
    <w:p>
      <w:pPr>
        <w:pStyle w:val="4"/>
      </w:pPr>
      <w:bookmarkStart w:id="229" w:name="_Toc511389233"/>
      <w:bookmarkStart w:id="230" w:name="_Toc509565002"/>
      <w:r>
        <w:t>功能要求</w:t>
      </w:r>
      <w:bookmarkEnd w:id="229"/>
      <w:bookmarkEnd w:id="230"/>
    </w:p>
    <w:p>
      <w:pPr>
        <w:keepNext/>
        <w:keepLines/>
        <w:numPr>
          <w:ilvl w:val="3"/>
          <w:numId w:val="1"/>
        </w:numPr>
        <w:spacing w:before="120" w:after="120" w:line="300" w:lineRule="auto"/>
        <w:ind w:left="862" w:hanging="862"/>
        <w:outlineLvl w:val="3"/>
        <w:rPr>
          <w:bCs/>
          <w:szCs w:val="28"/>
        </w:rPr>
      </w:pPr>
      <w:r>
        <w:rPr>
          <w:bCs/>
          <w:szCs w:val="28"/>
        </w:rPr>
        <w:t>市场数据查询与</w:t>
      </w:r>
      <w:r>
        <w:rPr>
          <w:rFonts w:hint="eastAsia"/>
          <w:bCs/>
          <w:szCs w:val="28"/>
        </w:rPr>
        <w:t>监测</w:t>
      </w:r>
    </w:p>
    <w:p>
      <w:pPr>
        <w:numPr>
          <w:ilvl w:val="0"/>
          <w:numId w:val="85"/>
        </w:numPr>
        <w:spacing w:line="300" w:lineRule="auto"/>
      </w:pPr>
      <w:r>
        <w:t>支持现货市场交易、结算相关数据查询。支持但不限于交易单元信息、报价曲线、出清结果及成交情况等数据查询；</w:t>
      </w:r>
    </w:p>
    <w:p>
      <w:pPr>
        <w:numPr>
          <w:ilvl w:val="0"/>
          <w:numId w:val="85"/>
        </w:numPr>
        <w:spacing w:line="300" w:lineRule="auto"/>
      </w:pPr>
      <w:r>
        <w:t>支持对电力现货市场每天的价格变化进行实时</w:t>
      </w:r>
      <w:r>
        <w:rPr>
          <w:rFonts w:hint="eastAsia"/>
          <w:bCs/>
          <w:szCs w:val="28"/>
        </w:rPr>
        <w:t>监测</w:t>
      </w:r>
      <w:r>
        <w:t>，对价格波动进行严格审核，发现问题将及时要求独立系统运营商或电网</w:t>
      </w:r>
      <w:r>
        <w:rPr>
          <w:rFonts w:hint="eastAsia"/>
        </w:rPr>
        <w:t>运营</w:t>
      </w:r>
      <w:r>
        <w:t>企业进行解释说明，控制市场成员利用市场操纵力导致电力现货市场价格大幅波动的问题；</w:t>
      </w:r>
    </w:p>
    <w:p>
      <w:pPr>
        <w:numPr>
          <w:ilvl w:val="0"/>
          <w:numId w:val="85"/>
        </w:numPr>
        <w:spacing w:line="300" w:lineRule="auto"/>
      </w:pPr>
      <w:r>
        <w:t>支持申报数据</w:t>
      </w:r>
      <w:r>
        <w:rPr>
          <w:rFonts w:hint="eastAsia"/>
          <w:bCs/>
          <w:szCs w:val="28"/>
        </w:rPr>
        <w:t>监测</w:t>
      </w:r>
      <w:r>
        <w:t>，可以在线</w:t>
      </w:r>
      <w:r>
        <w:rPr>
          <w:rFonts w:hint="eastAsia"/>
          <w:bCs/>
          <w:szCs w:val="28"/>
        </w:rPr>
        <w:t>监测</w:t>
      </w:r>
      <w:r>
        <w:t>申报电价</w:t>
      </w:r>
      <w:r>
        <w:rPr>
          <w:rFonts w:hint="eastAsia"/>
        </w:rPr>
        <w:t>、</w:t>
      </w:r>
      <w:r>
        <w:t>电量等信息；</w:t>
      </w:r>
    </w:p>
    <w:p>
      <w:pPr>
        <w:numPr>
          <w:ilvl w:val="0"/>
          <w:numId w:val="85"/>
        </w:numPr>
        <w:spacing w:line="300" w:lineRule="auto"/>
      </w:pPr>
      <w:r>
        <w:t>支持市场出清数据</w:t>
      </w:r>
      <w:r>
        <w:rPr>
          <w:rFonts w:hint="eastAsia"/>
          <w:bCs/>
          <w:szCs w:val="28"/>
        </w:rPr>
        <w:t>监测</w:t>
      </w:r>
      <w:r>
        <w:t>，可以在线</w:t>
      </w:r>
      <w:r>
        <w:rPr>
          <w:rFonts w:hint="eastAsia"/>
          <w:bCs/>
          <w:szCs w:val="28"/>
        </w:rPr>
        <w:t>监测</w:t>
      </w:r>
      <w:r>
        <w:t>出清电价、电量等信息。</w:t>
      </w:r>
    </w:p>
    <w:p>
      <w:pPr>
        <w:keepNext/>
        <w:keepLines/>
        <w:numPr>
          <w:ilvl w:val="3"/>
          <w:numId w:val="1"/>
        </w:numPr>
        <w:spacing w:before="120" w:after="120" w:line="300" w:lineRule="auto"/>
        <w:ind w:left="862" w:hanging="862"/>
        <w:outlineLvl w:val="3"/>
        <w:rPr>
          <w:bCs/>
          <w:szCs w:val="28"/>
        </w:rPr>
      </w:pPr>
      <w:r>
        <w:rPr>
          <w:bCs/>
          <w:szCs w:val="28"/>
        </w:rPr>
        <w:t>市场力的判定与消除</w:t>
      </w:r>
    </w:p>
    <w:p>
      <w:pPr>
        <w:numPr>
          <w:ilvl w:val="0"/>
          <w:numId w:val="86"/>
        </w:numPr>
        <w:spacing w:line="300" w:lineRule="auto"/>
      </w:pPr>
      <w:r>
        <w:t>能够判断</w:t>
      </w:r>
      <w:r>
        <w:rPr>
          <w:rFonts w:hint="eastAsia"/>
        </w:rPr>
        <w:t>市场成员是否具备并动用市场力来操控市场价格</w:t>
      </w:r>
      <w:r>
        <w:t>，并根据市场力缓解措施消除市场力；</w:t>
      </w:r>
    </w:p>
    <w:p>
      <w:pPr>
        <w:numPr>
          <w:ilvl w:val="0"/>
          <w:numId w:val="86"/>
        </w:numPr>
        <w:spacing w:line="300" w:lineRule="auto"/>
      </w:pPr>
      <w:r>
        <w:t>支持市场成员行为测试，支持对比市场成员实际竞价和参考竞价，设定门槛值，如果二者偏差超过门槛值则告警；</w:t>
      </w:r>
    </w:p>
    <w:p>
      <w:pPr>
        <w:numPr>
          <w:ilvl w:val="0"/>
          <w:numId w:val="86"/>
        </w:numPr>
        <w:spacing w:line="300" w:lineRule="auto"/>
      </w:pPr>
      <w:r>
        <w:t>支</w:t>
      </w:r>
      <w:r>
        <w:rPr>
          <w:rFonts w:hint="eastAsia"/>
        </w:rPr>
        <w:t>持市场成员影响力测试</w:t>
      </w:r>
      <w:r>
        <w:t>，对比采用发电成本和市场成员报价进行市场出清的结果，如果偏差大于一定门槛值则告警；</w:t>
      </w:r>
    </w:p>
    <w:p>
      <w:pPr>
        <w:numPr>
          <w:ilvl w:val="0"/>
          <w:numId w:val="86"/>
        </w:numPr>
        <w:spacing w:line="300" w:lineRule="auto"/>
      </w:pPr>
      <w:r>
        <w:t>支持市场力缓解审批，对未通过市场力监测的成员</w:t>
      </w:r>
      <w:r>
        <w:rPr>
          <w:rFonts w:hint="eastAsia"/>
        </w:rPr>
        <w:t>的</w:t>
      </w:r>
      <w:r>
        <w:t>报价进行修改、审批。</w:t>
      </w:r>
    </w:p>
    <w:p>
      <w:pPr>
        <w:keepNext/>
        <w:keepLines/>
        <w:numPr>
          <w:ilvl w:val="3"/>
          <w:numId w:val="1"/>
        </w:numPr>
        <w:spacing w:before="120" w:after="120" w:line="300" w:lineRule="auto"/>
        <w:ind w:left="862" w:hanging="862"/>
        <w:outlineLvl w:val="3"/>
        <w:rPr>
          <w:bCs/>
          <w:szCs w:val="28"/>
        </w:rPr>
      </w:pPr>
      <w:r>
        <w:rPr>
          <w:bCs/>
          <w:szCs w:val="28"/>
        </w:rPr>
        <w:t>市场运行绩效评价指标监管</w:t>
      </w:r>
    </w:p>
    <w:p>
      <w:pPr>
        <w:spacing w:line="300" w:lineRule="auto"/>
        <w:ind w:firstLine="480" w:firstLineChars="200"/>
      </w:pPr>
      <w:r>
        <w:t>支持以下市场运行绩效评价指标，包括但不限于：</w:t>
      </w:r>
    </w:p>
    <w:p>
      <w:pPr>
        <w:numPr>
          <w:ilvl w:val="0"/>
          <w:numId w:val="87"/>
        </w:numPr>
        <w:spacing w:line="300" w:lineRule="auto"/>
      </w:pPr>
      <w:r>
        <w:t>市场竞争性指标；</w:t>
      </w:r>
    </w:p>
    <w:p>
      <w:pPr>
        <w:numPr>
          <w:ilvl w:val="0"/>
          <w:numId w:val="87"/>
        </w:numPr>
        <w:spacing w:line="300" w:lineRule="auto"/>
      </w:pPr>
      <w:r>
        <w:t>市场价格指标；</w:t>
      </w:r>
    </w:p>
    <w:p>
      <w:pPr>
        <w:numPr>
          <w:ilvl w:val="0"/>
          <w:numId w:val="87"/>
        </w:numPr>
        <w:spacing w:line="300" w:lineRule="auto"/>
      </w:pPr>
      <w:r>
        <w:t>阻塞管理效率指标；</w:t>
      </w:r>
    </w:p>
    <w:p>
      <w:pPr>
        <w:numPr>
          <w:ilvl w:val="0"/>
          <w:numId w:val="87"/>
        </w:numPr>
        <w:spacing w:line="300" w:lineRule="auto"/>
      </w:pPr>
      <w:r>
        <w:t>资源可用性指标；</w:t>
      </w:r>
    </w:p>
    <w:p>
      <w:pPr>
        <w:numPr>
          <w:ilvl w:val="0"/>
          <w:numId w:val="87"/>
        </w:numPr>
        <w:spacing w:line="300" w:lineRule="auto"/>
      </w:pPr>
      <w:r>
        <w:t>发电燃料构成指标；</w:t>
      </w:r>
    </w:p>
    <w:p>
      <w:pPr>
        <w:numPr>
          <w:ilvl w:val="0"/>
          <w:numId w:val="87"/>
        </w:numPr>
        <w:spacing w:line="300" w:lineRule="auto"/>
      </w:pPr>
      <w:r>
        <w:t>可再生能源穿透率指标；</w:t>
      </w:r>
    </w:p>
    <w:p>
      <w:pPr>
        <w:numPr>
          <w:ilvl w:val="0"/>
          <w:numId w:val="87"/>
        </w:numPr>
        <w:spacing w:line="300" w:lineRule="auto"/>
      </w:pPr>
      <w:r>
        <w:t>市场深度指标。</w:t>
      </w:r>
    </w:p>
    <w:p>
      <w:pPr>
        <w:keepNext/>
        <w:keepLines/>
        <w:numPr>
          <w:ilvl w:val="3"/>
          <w:numId w:val="1"/>
        </w:numPr>
        <w:spacing w:before="120" w:after="120" w:line="300" w:lineRule="auto"/>
        <w:ind w:left="862" w:hanging="862"/>
        <w:outlineLvl w:val="3"/>
        <w:rPr>
          <w:bCs/>
          <w:szCs w:val="28"/>
        </w:rPr>
      </w:pPr>
      <w:r>
        <w:rPr>
          <w:bCs/>
          <w:szCs w:val="28"/>
        </w:rPr>
        <w:t>信息发布监管</w:t>
      </w:r>
    </w:p>
    <w:p>
      <w:pPr>
        <w:numPr>
          <w:ilvl w:val="0"/>
          <w:numId w:val="88"/>
        </w:numPr>
        <w:spacing w:line="300" w:lineRule="auto"/>
      </w:pPr>
      <w:r>
        <w:t>支持对市场主体、电力交易和电力调度机构信息公开和报送，应当发布的信息内容和要求，主要信息的报送、备案或发布，有关方式、途径、时限，信息安全、保密情况等；</w:t>
      </w:r>
    </w:p>
    <w:p>
      <w:pPr>
        <w:numPr>
          <w:ilvl w:val="0"/>
          <w:numId w:val="88"/>
        </w:numPr>
        <w:spacing w:line="300" w:lineRule="auto"/>
      </w:pPr>
      <w:r>
        <w:t>支持监管信息按照日、月、季、年等时间间隔, 定期将市场</w:t>
      </w:r>
      <w:r>
        <w:rPr>
          <w:rFonts w:hint="eastAsia"/>
        </w:rPr>
        <w:t>监测</w:t>
      </w:r>
      <w:r>
        <w:t>与评估的结果予以公布。发布年度和季度市场状态报告，报告应提供市场结构，市场行为，市场绩效分析；</w:t>
      </w:r>
    </w:p>
    <w:p>
      <w:pPr>
        <w:numPr>
          <w:ilvl w:val="0"/>
          <w:numId w:val="88"/>
        </w:numPr>
        <w:spacing w:line="300" w:lineRule="auto"/>
      </w:pPr>
      <w:r>
        <w:t>支持各类市场监管图表公布；</w:t>
      </w:r>
    </w:p>
    <w:p>
      <w:pPr>
        <w:numPr>
          <w:ilvl w:val="0"/>
          <w:numId w:val="88"/>
        </w:numPr>
        <w:spacing w:line="300" w:lineRule="auto"/>
      </w:pPr>
      <w:r>
        <w:t>支持各类市场评价指标公布；</w:t>
      </w:r>
    </w:p>
    <w:p>
      <w:pPr>
        <w:numPr>
          <w:ilvl w:val="0"/>
          <w:numId w:val="88"/>
        </w:numPr>
        <w:spacing w:line="300" w:lineRule="auto"/>
      </w:pPr>
      <w:r>
        <w:t>支持根据市场评价体系计算评分；</w:t>
      </w:r>
    </w:p>
    <w:p>
      <w:pPr>
        <w:numPr>
          <w:ilvl w:val="0"/>
          <w:numId w:val="88"/>
        </w:numPr>
        <w:spacing w:line="300" w:lineRule="auto"/>
      </w:pPr>
      <w:r>
        <w:t>支持交易前、交易中，根据评分结果对异常情况提出预警；</w:t>
      </w:r>
    </w:p>
    <w:p>
      <w:pPr>
        <w:numPr>
          <w:ilvl w:val="0"/>
          <w:numId w:val="88"/>
        </w:numPr>
        <w:spacing w:line="300" w:lineRule="auto"/>
      </w:pPr>
      <w:r>
        <w:t>支持按日、月、季、年等时间间隔，定期生成并发布市场分析报表。</w:t>
      </w:r>
    </w:p>
    <w:p>
      <w:pPr>
        <w:pStyle w:val="4"/>
      </w:pPr>
      <w:bookmarkStart w:id="231" w:name="_Toc509565003"/>
      <w:bookmarkStart w:id="232" w:name="_Toc511389234"/>
      <w:r>
        <w:t>界面要求</w:t>
      </w:r>
      <w:bookmarkEnd w:id="231"/>
      <w:bookmarkEnd w:id="232"/>
    </w:p>
    <w:p>
      <w:pPr>
        <w:spacing w:line="300" w:lineRule="auto"/>
        <w:ind w:firstLine="480" w:firstLineChars="200"/>
      </w:pPr>
      <w:r>
        <w:t>应提供丰富友好的人机接口，支持各类信息的展示，具体功能如下：</w:t>
      </w:r>
    </w:p>
    <w:p>
      <w:pPr>
        <w:numPr>
          <w:ilvl w:val="0"/>
          <w:numId w:val="89"/>
        </w:numPr>
        <w:spacing w:line="300" w:lineRule="auto"/>
      </w:pPr>
      <w:r>
        <w:t>应支持市场运行绩效指标监控功能；</w:t>
      </w:r>
    </w:p>
    <w:p>
      <w:pPr>
        <w:numPr>
          <w:ilvl w:val="0"/>
          <w:numId w:val="89"/>
        </w:numPr>
        <w:spacing w:line="300" w:lineRule="auto"/>
      </w:pPr>
      <w:r>
        <w:t>应支持系统运行指标监控功能；</w:t>
      </w:r>
    </w:p>
    <w:p>
      <w:pPr>
        <w:numPr>
          <w:ilvl w:val="0"/>
          <w:numId w:val="89"/>
        </w:numPr>
        <w:spacing w:line="300" w:lineRule="auto"/>
      </w:pPr>
      <w:r>
        <w:t>应支持监管信息披露功能。</w:t>
      </w:r>
    </w:p>
    <w:p>
      <w:pPr>
        <w:pStyle w:val="4"/>
      </w:pPr>
      <w:bookmarkStart w:id="233" w:name="_Toc509565004"/>
      <w:bookmarkStart w:id="234" w:name="_Toc511389235"/>
      <w:r>
        <w:t>接口要求</w:t>
      </w:r>
      <w:bookmarkEnd w:id="233"/>
      <w:bookmarkEnd w:id="234"/>
    </w:p>
    <w:p>
      <w:pPr>
        <w:keepNext/>
        <w:keepLines/>
        <w:numPr>
          <w:ilvl w:val="3"/>
          <w:numId w:val="1"/>
        </w:numPr>
        <w:spacing w:before="120" w:after="120" w:line="300" w:lineRule="auto"/>
        <w:outlineLvl w:val="3"/>
        <w:rPr>
          <w:bCs/>
          <w:szCs w:val="28"/>
        </w:rPr>
      </w:pPr>
      <w:r>
        <w:rPr>
          <w:bCs/>
          <w:szCs w:val="28"/>
        </w:rPr>
        <w:t>数据输入</w:t>
      </w:r>
    </w:p>
    <w:p>
      <w:pPr>
        <w:numPr>
          <w:ilvl w:val="0"/>
          <w:numId w:val="90"/>
        </w:numPr>
        <w:spacing w:line="300" w:lineRule="auto"/>
      </w:pPr>
      <w:r>
        <w:t>支持从市场申报读取市场申报数据；</w:t>
      </w:r>
    </w:p>
    <w:p>
      <w:pPr>
        <w:numPr>
          <w:ilvl w:val="0"/>
          <w:numId w:val="90"/>
        </w:numPr>
        <w:spacing w:line="300" w:lineRule="auto"/>
      </w:pPr>
      <w:r>
        <w:t>支持从日前、日内</w:t>
      </w:r>
      <w:r>
        <w:rPr>
          <w:rFonts w:hint="eastAsia"/>
        </w:rPr>
        <w:t>市场</w:t>
      </w:r>
      <w:r>
        <w:t>、</w:t>
      </w:r>
      <w:r>
        <w:rPr>
          <w:rFonts w:hint="eastAsia"/>
        </w:rPr>
        <w:t>平衡</w:t>
      </w:r>
      <w:r>
        <w:t>机制、辅助服务市场读取市场出清结果。</w:t>
      </w:r>
    </w:p>
    <w:p>
      <w:pPr>
        <w:spacing w:line="300" w:lineRule="auto"/>
        <w:ind w:firstLine="480" w:firstLineChars="200"/>
      </w:pPr>
    </w:p>
    <w:p>
      <w:pPr>
        <w:pStyle w:val="3"/>
      </w:pPr>
      <w:bookmarkStart w:id="235" w:name="_Toc509565005"/>
      <w:bookmarkStart w:id="236" w:name="_Toc511389236"/>
      <w:r>
        <w:t>系统管理</w:t>
      </w:r>
      <w:bookmarkEnd w:id="235"/>
      <w:bookmarkEnd w:id="236"/>
    </w:p>
    <w:p>
      <w:pPr>
        <w:spacing w:line="300" w:lineRule="auto"/>
        <w:ind w:firstLine="480" w:firstLineChars="200"/>
      </w:pPr>
      <w:r>
        <w:t>系统管理子系统提供系统管理员对运营系统的配置与管理功能，包括流程配置、规则配置、账户权限管理、运行日志、数据存档等功能，保证系统运行的安全性、灵活性和可扩展性，并对系统资源的使用进行有效监控。</w:t>
      </w:r>
    </w:p>
    <w:p>
      <w:pPr>
        <w:pStyle w:val="4"/>
      </w:pPr>
      <w:bookmarkStart w:id="237" w:name="_Toc509565006"/>
      <w:bookmarkStart w:id="238" w:name="_Toc511389237"/>
      <w:bookmarkStart w:id="239" w:name="_Toc509387917"/>
      <w:r>
        <w:t>功能要求</w:t>
      </w:r>
      <w:bookmarkEnd w:id="237"/>
      <w:bookmarkEnd w:id="238"/>
    </w:p>
    <w:p>
      <w:pPr>
        <w:keepNext/>
        <w:keepLines/>
        <w:numPr>
          <w:ilvl w:val="3"/>
          <w:numId w:val="1"/>
        </w:numPr>
        <w:tabs>
          <w:tab w:val="left" w:pos="864"/>
        </w:tabs>
        <w:spacing w:before="120" w:after="120"/>
        <w:outlineLvl w:val="3"/>
        <w:rPr>
          <w:bCs/>
          <w:szCs w:val="28"/>
        </w:rPr>
      </w:pPr>
      <w:r>
        <w:rPr>
          <w:bCs/>
          <w:szCs w:val="28"/>
        </w:rPr>
        <w:t>流程配置</w:t>
      </w:r>
      <w:bookmarkEnd w:id="239"/>
    </w:p>
    <w:p>
      <w:pPr>
        <w:spacing w:line="300" w:lineRule="auto"/>
        <w:ind w:firstLine="480" w:firstLineChars="200"/>
      </w:pPr>
      <w:r>
        <w:t>提供流程配置与管理功能，可根据电力现货市场的规则配置流程节点，流程节点可以配置为定时自动执行或由人工执行，流程节点配置为人工执行时可以配置授权账户。</w:t>
      </w:r>
    </w:p>
    <w:p>
      <w:pPr>
        <w:keepNext/>
        <w:keepLines/>
        <w:numPr>
          <w:ilvl w:val="3"/>
          <w:numId w:val="1"/>
        </w:numPr>
        <w:tabs>
          <w:tab w:val="left" w:pos="864"/>
        </w:tabs>
        <w:spacing w:before="120" w:after="120"/>
        <w:outlineLvl w:val="3"/>
        <w:rPr>
          <w:bCs/>
          <w:szCs w:val="28"/>
        </w:rPr>
      </w:pPr>
      <w:bookmarkStart w:id="240" w:name="_Toc509387918"/>
      <w:r>
        <w:rPr>
          <w:bCs/>
          <w:szCs w:val="28"/>
        </w:rPr>
        <w:t>规则配置</w:t>
      </w:r>
      <w:bookmarkEnd w:id="240"/>
    </w:p>
    <w:p>
      <w:pPr>
        <w:spacing w:line="300" w:lineRule="auto"/>
        <w:ind w:firstLine="480" w:firstLineChars="200"/>
      </w:pPr>
      <w:r>
        <w:t>提供电力现货市场规则库，供系统运行与维护人员按已公开发布的电力现货市场规则集中配置维护电力现货市场规则库。</w:t>
      </w:r>
    </w:p>
    <w:p>
      <w:pPr>
        <w:spacing w:line="300" w:lineRule="auto"/>
        <w:ind w:firstLine="480" w:firstLineChars="200"/>
      </w:pPr>
      <w:r>
        <w:t>支持在线修改、生效规则，无需修改或重启运营系统。</w:t>
      </w:r>
    </w:p>
    <w:p>
      <w:pPr>
        <w:keepNext/>
        <w:keepLines/>
        <w:numPr>
          <w:ilvl w:val="3"/>
          <w:numId w:val="1"/>
        </w:numPr>
        <w:tabs>
          <w:tab w:val="left" w:pos="864"/>
        </w:tabs>
        <w:spacing w:before="120" w:after="120"/>
        <w:outlineLvl w:val="3"/>
        <w:rPr>
          <w:bCs/>
          <w:szCs w:val="28"/>
        </w:rPr>
      </w:pPr>
      <w:bookmarkStart w:id="241" w:name="_Toc509387919"/>
      <w:r>
        <w:rPr>
          <w:bCs/>
          <w:szCs w:val="28"/>
        </w:rPr>
        <w:t>账户权限管理</w:t>
      </w:r>
      <w:bookmarkEnd w:id="241"/>
    </w:p>
    <w:p>
      <w:pPr>
        <w:spacing w:line="300" w:lineRule="auto"/>
        <w:ind w:firstLine="480" w:firstLineChars="200"/>
      </w:pPr>
      <w:r>
        <w:t>权限管理是基于角色、超级用户、用户组和用户的多级权限管理制度。多级权限管理制度遵循以下管理原则：</w:t>
      </w:r>
    </w:p>
    <w:p>
      <w:pPr>
        <w:numPr>
          <w:ilvl w:val="0"/>
          <w:numId w:val="91"/>
        </w:numPr>
        <w:spacing w:line="300" w:lineRule="auto"/>
      </w:pPr>
      <w:r>
        <w:t>系统提供超级用户，超级用户不能直接进行业务操作，只能对其余普通用户进行授权管理，以实现授权和业务分离；</w:t>
      </w:r>
    </w:p>
    <w:p>
      <w:pPr>
        <w:numPr>
          <w:ilvl w:val="0"/>
          <w:numId w:val="91"/>
        </w:numPr>
        <w:spacing w:line="300" w:lineRule="auto"/>
      </w:pPr>
      <w:r>
        <w:t>系统下分用户组，每个用户组具有一定范围的操作权限；</w:t>
      </w:r>
    </w:p>
    <w:p>
      <w:pPr>
        <w:numPr>
          <w:ilvl w:val="0"/>
          <w:numId w:val="91"/>
        </w:numPr>
        <w:spacing w:line="300" w:lineRule="auto"/>
      </w:pPr>
      <w:r>
        <w:t>系统用户根据自己的用户名、密码登录进入系统，进行权限允许的操作；</w:t>
      </w:r>
    </w:p>
    <w:p>
      <w:pPr>
        <w:numPr>
          <w:ilvl w:val="0"/>
          <w:numId w:val="91"/>
        </w:numPr>
        <w:spacing w:line="300" w:lineRule="auto"/>
      </w:pPr>
      <w:r>
        <w:t>每个用户组可以包含一个或多个最终用户，具备该用户组的操作权限，同时每个用户都可以修改自己的密码，密码必须满足安全防护要求，否则修改不成功，该密码不为管理员所知。</w:t>
      </w:r>
    </w:p>
    <w:p>
      <w:pPr>
        <w:keepNext/>
        <w:keepLines/>
        <w:numPr>
          <w:ilvl w:val="3"/>
          <w:numId w:val="1"/>
        </w:numPr>
        <w:tabs>
          <w:tab w:val="left" w:pos="864"/>
        </w:tabs>
        <w:spacing w:before="120" w:after="120"/>
        <w:outlineLvl w:val="3"/>
        <w:rPr>
          <w:bCs/>
          <w:szCs w:val="28"/>
        </w:rPr>
      </w:pPr>
      <w:bookmarkStart w:id="242" w:name="_Toc509387920"/>
      <w:r>
        <w:rPr>
          <w:bCs/>
          <w:szCs w:val="28"/>
        </w:rPr>
        <w:t>运行日志</w:t>
      </w:r>
      <w:bookmarkEnd w:id="242"/>
    </w:p>
    <w:p>
      <w:pPr>
        <w:spacing w:line="300" w:lineRule="auto"/>
        <w:ind w:firstLine="480" w:firstLineChars="200"/>
      </w:pPr>
      <w:r>
        <w:t>对于系统所有的操作都记录到运行日志中，包括系统所有的安全相关事件以及操作人员操作时标等。</w:t>
      </w:r>
    </w:p>
    <w:p>
      <w:pPr>
        <w:numPr>
          <w:ilvl w:val="0"/>
          <w:numId w:val="92"/>
        </w:numPr>
        <w:spacing w:line="300" w:lineRule="auto"/>
      </w:pPr>
      <w:r>
        <w:t>运行日志应分为系统事件（例如</w:t>
      </w:r>
      <w:r>
        <w:rPr>
          <w:rFonts w:hint="eastAsia"/>
        </w:rPr>
        <w:t>：</w:t>
      </w:r>
      <w:r>
        <w:t>系统启动、关闭，认证和鉴别，配置更改等）、业务事件（例如</w:t>
      </w:r>
      <w:r>
        <w:rPr>
          <w:rFonts w:hint="eastAsia"/>
        </w:rPr>
        <w:t>：</w:t>
      </w:r>
      <w:r>
        <w:t>信息查询，数据输入等）、成功事件、失败事件四类；</w:t>
      </w:r>
    </w:p>
    <w:p>
      <w:pPr>
        <w:numPr>
          <w:ilvl w:val="0"/>
          <w:numId w:val="92"/>
        </w:numPr>
        <w:spacing w:line="300" w:lineRule="auto"/>
      </w:pPr>
      <w:r>
        <w:t>运行日志模块应提供对记录的日志数据进行分类查询分析功能，并且该模块只对有权限的管理员开放。</w:t>
      </w:r>
    </w:p>
    <w:p>
      <w:pPr>
        <w:keepNext/>
        <w:keepLines/>
        <w:numPr>
          <w:ilvl w:val="3"/>
          <w:numId w:val="1"/>
        </w:numPr>
        <w:tabs>
          <w:tab w:val="left" w:pos="864"/>
        </w:tabs>
        <w:spacing w:before="120" w:after="120"/>
        <w:outlineLvl w:val="3"/>
        <w:rPr>
          <w:bCs/>
          <w:szCs w:val="28"/>
        </w:rPr>
      </w:pPr>
      <w:bookmarkStart w:id="243" w:name="_Toc509387921"/>
      <w:r>
        <w:rPr>
          <w:bCs/>
          <w:szCs w:val="28"/>
        </w:rPr>
        <w:t>数据存档</w:t>
      </w:r>
      <w:bookmarkEnd w:id="243"/>
    </w:p>
    <w:p>
      <w:pPr>
        <w:spacing w:line="300" w:lineRule="auto"/>
        <w:ind w:firstLine="480" w:firstLineChars="200"/>
      </w:pPr>
      <w:r>
        <w:t>数据存档模块对运营系统运行中各种数据和操作进行存档和管理。</w:t>
      </w:r>
    </w:p>
    <w:p>
      <w:pPr>
        <w:numPr>
          <w:ilvl w:val="0"/>
          <w:numId w:val="93"/>
        </w:numPr>
        <w:spacing w:line="300" w:lineRule="auto"/>
      </w:pPr>
      <w:r>
        <w:t>应实现对市场成员和系统用户的登录及操作、系统软硬件运行、系统数据等的存档功能；</w:t>
      </w:r>
    </w:p>
    <w:p>
      <w:pPr>
        <w:numPr>
          <w:ilvl w:val="0"/>
          <w:numId w:val="93"/>
        </w:numPr>
        <w:spacing w:line="300" w:lineRule="auto"/>
      </w:pPr>
      <w:r>
        <w:t>应实现对交易的全过程进行全面跟踪记录，并存储在运行记录数据库里。</w:t>
      </w:r>
    </w:p>
    <w:p>
      <w:pPr>
        <w:pStyle w:val="4"/>
      </w:pPr>
      <w:bookmarkStart w:id="244" w:name="_Toc509565007"/>
      <w:bookmarkStart w:id="245" w:name="_Toc511389238"/>
      <w:r>
        <w:t>界面要求</w:t>
      </w:r>
      <w:bookmarkEnd w:id="244"/>
      <w:bookmarkEnd w:id="245"/>
    </w:p>
    <w:p>
      <w:pPr>
        <w:spacing w:line="300" w:lineRule="auto"/>
        <w:ind w:firstLine="480"/>
      </w:pPr>
      <w:r>
        <w:t>提供使用方便、配置灵活、信息准确、管理有效的配置管理界面：</w:t>
      </w:r>
    </w:p>
    <w:p>
      <w:pPr>
        <w:numPr>
          <w:ilvl w:val="0"/>
          <w:numId w:val="94"/>
        </w:numPr>
        <w:spacing w:line="300" w:lineRule="auto"/>
      </w:pPr>
      <w:r>
        <w:t>应实现流程配置界面；</w:t>
      </w:r>
    </w:p>
    <w:p>
      <w:pPr>
        <w:numPr>
          <w:ilvl w:val="0"/>
          <w:numId w:val="94"/>
        </w:numPr>
        <w:spacing w:line="300" w:lineRule="auto"/>
      </w:pPr>
      <w:r>
        <w:t>应实现规则配置界面；</w:t>
      </w:r>
    </w:p>
    <w:p>
      <w:pPr>
        <w:numPr>
          <w:ilvl w:val="0"/>
          <w:numId w:val="94"/>
        </w:numPr>
        <w:spacing w:line="300" w:lineRule="auto"/>
      </w:pPr>
      <w:r>
        <w:t>应实现账户权限管理界面；</w:t>
      </w:r>
    </w:p>
    <w:p>
      <w:pPr>
        <w:numPr>
          <w:ilvl w:val="0"/>
          <w:numId w:val="94"/>
        </w:numPr>
        <w:spacing w:line="300" w:lineRule="auto"/>
      </w:pPr>
      <w:r>
        <w:t>应实现运行日志查询管理界面，可以对系统所有的安全相关事件进行查询；</w:t>
      </w:r>
    </w:p>
    <w:p>
      <w:pPr>
        <w:numPr>
          <w:ilvl w:val="0"/>
          <w:numId w:val="94"/>
        </w:numPr>
        <w:spacing w:line="300" w:lineRule="auto"/>
      </w:pPr>
      <w:r>
        <w:t>应实现数据存档管理界面，可以对各种数据和操作进行存档和管理。</w:t>
      </w:r>
    </w:p>
    <w:p>
      <w:pPr>
        <w:pStyle w:val="4"/>
      </w:pPr>
      <w:bookmarkStart w:id="246" w:name="_Toc509565008"/>
      <w:bookmarkStart w:id="247" w:name="_Toc511389239"/>
      <w:r>
        <w:t>接口要求</w:t>
      </w:r>
      <w:bookmarkEnd w:id="246"/>
      <w:bookmarkEnd w:id="247"/>
    </w:p>
    <w:p>
      <w:pPr>
        <w:keepNext/>
        <w:keepLines/>
        <w:numPr>
          <w:ilvl w:val="3"/>
          <w:numId w:val="1"/>
        </w:numPr>
        <w:tabs>
          <w:tab w:val="left" w:pos="864"/>
        </w:tabs>
        <w:spacing w:before="120" w:after="120"/>
        <w:outlineLvl w:val="3"/>
        <w:rPr>
          <w:bCs/>
          <w:szCs w:val="28"/>
        </w:rPr>
      </w:pPr>
      <w:r>
        <w:rPr>
          <w:bCs/>
          <w:szCs w:val="28"/>
        </w:rPr>
        <w:t>数据输入</w:t>
      </w:r>
    </w:p>
    <w:p>
      <w:pPr>
        <w:numPr>
          <w:ilvl w:val="0"/>
          <w:numId w:val="95"/>
        </w:numPr>
        <w:spacing w:line="300" w:lineRule="auto"/>
      </w:pPr>
      <w:r>
        <w:t>支持从日前、日内</w:t>
      </w:r>
      <w:r>
        <w:rPr>
          <w:rFonts w:hint="eastAsia"/>
        </w:rPr>
        <w:t>市场</w:t>
      </w:r>
      <w:r>
        <w:t>、</w:t>
      </w:r>
      <w:r>
        <w:rPr>
          <w:rFonts w:hint="eastAsia"/>
        </w:rPr>
        <w:t>平衡机制</w:t>
      </w:r>
      <w:r>
        <w:t>、辅助服务市场读取操作信息；</w:t>
      </w:r>
    </w:p>
    <w:p>
      <w:pPr>
        <w:numPr>
          <w:ilvl w:val="0"/>
          <w:numId w:val="95"/>
        </w:numPr>
        <w:spacing w:line="300" w:lineRule="auto"/>
      </w:pPr>
      <w:r>
        <w:t>支持从市场申报读取市场申报操作信息。</w:t>
      </w:r>
    </w:p>
    <w:p>
      <w:pPr>
        <w:spacing w:line="300" w:lineRule="auto"/>
        <w:ind w:firstLine="480" w:firstLineChars="200"/>
      </w:pPr>
    </w:p>
    <w:p>
      <w:pPr>
        <w:pStyle w:val="3"/>
      </w:pPr>
      <w:bookmarkStart w:id="248" w:name="_Toc511389240"/>
      <w:r>
        <w:t>市场成员服务</w:t>
      </w:r>
      <w:bookmarkEnd w:id="248"/>
    </w:p>
    <w:p>
      <w:pPr>
        <w:spacing w:line="300" w:lineRule="auto"/>
        <w:ind w:firstLine="480" w:firstLineChars="200"/>
      </w:pPr>
      <w:r>
        <w:t>市场成员服务为电力现货市场参与者提供电力现货市场体系介绍、市场规则解读、电力现货市场参与方式说明、运营系统使用培训、市场成员互动交流平台等服务，引导市场成员参与电力现货市场。</w:t>
      </w:r>
    </w:p>
    <w:p>
      <w:pPr>
        <w:pStyle w:val="4"/>
      </w:pPr>
      <w:bookmarkStart w:id="249" w:name="_Toc511389241"/>
      <w:r>
        <w:t>功能要求</w:t>
      </w:r>
      <w:bookmarkEnd w:id="249"/>
    </w:p>
    <w:p>
      <w:pPr>
        <w:pStyle w:val="53"/>
        <w:numPr>
          <w:ilvl w:val="0"/>
          <w:numId w:val="96"/>
        </w:numPr>
        <w:spacing w:line="300" w:lineRule="auto"/>
        <w:ind w:firstLineChars="0"/>
      </w:pPr>
      <w:r>
        <w:t>具备电力现货市场体系介绍功能，通过图文、语音、视频等方式，</w:t>
      </w:r>
      <w:r>
        <w:rPr>
          <w:rFonts w:hint="eastAsia"/>
        </w:rPr>
        <w:t>向市场成员</w:t>
      </w:r>
      <w:r>
        <w:t>介绍电力市场基本业务框架、电力中长期市场与电力现货市场关系、日前、日内</w:t>
      </w:r>
      <w:r>
        <w:rPr>
          <w:rFonts w:hint="eastAsia"/>
        </w:rPr>
        <w:t>现货</w:t>
      </w:r>
      <w:r>
        <w:t>市场</w:t>
      </w:r>
      <w:r>
        <w:rPr>
          <w:rFonts w:hint="eastAsia"/>
        </w:rPr>
        <w:t>、平衡机制和</w:t>
      </w:r>
      <w:r>
        <w:t>辅助服务市场业务体系、市场风险管控体系和市场监管体系；</w:t>
      </w:r>
    </w:p>
    <w:p>
      <w:pPr>
        <w:pStyle w:val="53"/>
        <w:numPr>
          <w:ilvl w:val="0"/>
          <w:numId w:val="96"/>
        </w:numPr>
        <w:spacing w:line="300" w:lineRule="auto"/>
        <w:ind w:firstLineChars="0"/>
      </w:pPr>
      <w:r>
        <w:t>具备电力现货市场规则解读功能，通过图文、语音、视频等方式，对电力市场规则进行解读，向市场成员介绍市场规则的指导思想、主要内容、现货市场业务流程、市场运营机构、市场监管机构职责、市场规则重要修改等内容，对市场成员关注的问题进行解答、澄清；</w:t>
      </w:r>
    </w:p>
    <w:p>
      <w:pPr>
        <w:pStyle w:val="53"/>
        <w:numPr>
          <w:ilvl w:val="0"/>
          <w:numId w:val="96"/>
        </w:numPr>
        <w:spacing w:line="300" w:lineRule="auto"/>
        <w:ind w:firstLineChars="0"/>
      </w:pPr>
      <w:r>
        <w:t>具备电力现货市场参与方式说明，通过图文、语音、视频等方式，介绍各类市场成员参与电力现货市场需要具备的准入条件、市场注册材料规范、市场注册方式和注册过程，为市场成员参与电力现货市场提供全程指导；</w:t>
      </w:r>
    </w:p>
    <w:p>
      <w:pPr>
        <w:pStyle w:val="53"/>
        <w:numPr>
          <w:ilvl w:val="0"/>
          <w:numId w:val="96"/>
        </w:numPr>
        <w:spacing w:line="300" w:lineRule="auto"/>
        <w:ind w:firstLineChars="0"/>
      </w:pPr>
      <w:r>
        <w:t>具备运营系统使用培训功能，通过图文、PPT、视频等方式，面向各类市场成员详细介绍电力现货市场运营系统总体架构、各业务模块功能使用方法、系统常见问题处理方法等，为市场成员通过运营系统参与各类市场交易业务提供指导；</w:t>
      </w:r>
    </w:p>
    <w:p>
      <w:pPr>
        <w:pStyle w:val="53"/>
        <w:numPr>
          <w:ilvl w:val="0"/>
          <w:numId w:val="96"/>
        </w:numPr>
        <w:spacing w:line="300" w:lineRule="auto"/>
        <w:ind w:firstLineChars="0"/>
      </w:pPr>
      <w:r>
        <w:t>具备市场成员互动交流平台功能，支持市场成员通过WEB网页、移动APP等方式进行互动交流。</w:t>
      </w:r>
    </w:p>
    <w:p>
      <w:pPr>
        <w:pStyle w:val="4"/>
      </w:pPr>
      <w:bookmarkStart w:id="250" w:name="_Toc511389242"/>
      <w:r>
        <w:t>界面要求</w:t>
      </w:r>
      <w:bookmarkEnd w:id="250"/>
    </w:p>
    <w:p>
      <w:pPr>
        <w:pStyle w:val="53"/>
        <w:numPr>
          <w:ilvl w:val="0"/>
          <w:numId w:val="97"/>
        </w:numPr>
        <w:spacing w:line="300" w:lineRule="auto"/>
        <w:ind w:firstLineChars="0"/>
      </w:pPr>
      <w:r>
        <w:t>支持图文、语音、视频等方式展示市场成员服务内容；</w:t>
      </w:r>
    </w:p>
    <w:p>
      <w:pPr>
        <w:pStyle w:val="53"/>
        <w:numPr>
          <w:ilvl w:val="0"/>
          <w:numId w:val="97"/>
        </w:numPr>
        <w:spacing w:line="300" w:lineRule="auto"/>
        <w:ind w:firstLineChars="0"/>
      </w:pPr>
      <w:r>
        <w:t>支持市场成员通过WEB网页、移动APP方式互动交流文字、图形、语音、视频等内容；</w:t>
      </w:r>
    </w:p>
    <w:p>
      <w:pPr>
        <w:pStyle w:val="53"/>
        <w:numPr>
          <w:ilvl w:val="0"/>
          <w:numId w:val="97"/>
        </w:numPr>
        <w:spacing w:line="300" w:lineRule="auto"/>
        <w:ind w:firstLineChars="0"/>
      </w:pPr>
      <w:r>
        <w:t>支持市场成员服务内容下载、打印。</w:t>
      </w:r>
    </w:p>
    <w:p>
      <w:pPr>
        <w:spacing w:line="300" w:lineRule="auto"/>
        <w:ind w:firstLine="480" w:firstLineChars="200"/>
      </w:pPr>
    </w:p>
    <w:p>
      <w:pPr>
        <w:pStyle w:val="3"/>
      </w:pPr>
      <w:bookmarkStart w:id="251" w:name="_Toc511389243"/>
      <w:r>
        <w:t>电力现货市场运营系统部署结构</w:t>
      </w:r>
      <w:bookmarkEnd w:id="251"/>
    </w:p>
    <w:p>
      <w:pPr>
        <w:spacing w:line="300" w:lineRule="auto"/>
        <w:ind w:firstLine="480" w:firstLineChars="200"/>
        <w:jc w:val="left"/>
        <w:rPr>
          <w:szCs w:val="21"/>
        </w:rPr>
      </w:pPr>
      <w:r>
        <w:rPr>
          <w:szCs w:val="21"/>
        </w:rPr>
        <w:t>电力现货市场运营系统，包括支持跨省区电力市场的运营系统和省电力市场的运营系统。电力现货市场运营系统的建设立足现有调度基础设施、调度控制系统的现状开展，同时考虑电力市场运营的客观需要。电力现货市场运营系统部署结构如下图所示：</w:t>
      </w:r>
    </w:p>
    <w:p>
      <w:pPr>
        <w:spacing w:line="300" w:lineRule="auto"/>
        <w:jc w:val="center"/>
      </w:pPr>
      <w:r>
        <w:object>
          <v:shape id="_x0000_i1025" o:spt="75" type="#_x0000_t75" style="height:273pt;width:415.5pt;" o:ole="t" filled="f" o:preferrelative="t" stroked="f" coordsize="21600,21600">
            <v:path/>
            <v:fill on="f" focussize="0,0"/>
            <v:stroke on="f" joinstyle="miter"/>
            <v:imagedata r:id="rId13" o:title=""/>
            <o:lock v:ext="edit" aspectratio="t"/>
            <w10:wrap type="none"/>
            <w10:anchorlock/>
          </v:shape>
          <o:OLEObject Type="Embed" ProgID="Visio.Drawing.11" ShapeID="_x0000_i1025" DrawAspect="Content" ObjectID="_1468075725" r:id="rId12">
            <o:LockedField>false</o:LockedField>
          </o:OLEObject>
        </w:object>
      </w:r>
    </w:p>
    <w:p>
      <w:pPr>
        <w:spacing w:line="300" w:lineRule="auto"/>
        <w:jc w:val="center"/>
      </w:pPr>
      <w:r>
        <w:rPr>
          <w:szCs w:val="21"/>
        </w:rPr>
        <w:t>图2  电力现货市场运营系统部署结构</w:t>
      </w:r>
    </w:p>
    <w:p>
      <w:pPr>
        <w:spacing w:line="300" w:lineRule="auto"/>
        <w:ind w:firstLine="480"/>
        <w:rPr>
          <w:szCs w:val="21"/>
        </w:rPr>
      </w:pPr>
      <w:r>
        <w:rPr>
          <w:szCs w:val="21"/>
        </w:rPr>
        <w:t>运营系统的主要功能部署在生产控制大区，现货市场（含辅助服务）运行功能部署在</w:t>
      </w:r>
      <w:r>
        <w:rPr>
          <w:rFonts w:hint="eastAsia" w:ascii="宋体" w:hAnsi="宋体" w:cs="宋体"/>
          <w:szCs w:val="21"/>
        </w:rPr>
        <w:t>Ⅱ</w:t>
      </w:r>
      <w:r>
        <w:rPr>
          <w:szCs w:val="21"/>
        </w:rPr>
        <w:t>区，市场管理功能部署在管理信息大区，数据申报与信息发布功能跨大区部署。生产控制大区和管理信息大区之间通过正反向隔离装置交互数据；信息外网和信息内网之间也部署正反向隔离装置；在生产控制大区和发电企业之间，采用纵向加密认证装置；在管理信息大区与发电企业之间采用防火墙等逻辑隔离设备；在信息外网与互联网之间通过防火墙、安全接入网关等逻辑隔离保障信息安全。</w:t>
      </w:r>
    </w:p>
    <w:p>
      <w:pPr>
        <w:spacing w:line="300" w:lineRule="auto"/>
        <w:ind w:firstLine="480"/>
      </w:pPr>
    </w:p>
    <w:p>
      <w:pPr>
        <w:pStyle w:val="3"/>
      </w:pPr>
      <w:bookmarkStart w:id="252" w:name="_Toc511389244"/>
      <w:r>
        <w:t>与其它电力现货市场运营系统衔接</w:t>
      </w:r>
      <w:bookmarkEnd w:id="252"/>
    </w:p>
    <w:p>
      <w:pPr>
        <w:pStyle w:val="53"/>
        <w:spacing w:line="300" w:lineRule="auto"/>
        <w:ind w:firstLine="480"/>
        <w:rPr>
          <w:szCs w:val="21"/>
        </w:rPr>
      </w:pPr>
      <w:r>
        <w:rPr>
          <w:rFonts w:hint="eastAsia"/>
          <w:szCs w:val="21"/>
        </w:rPr>
        <w:t>电力</w:t>
      </w:r>
      <w:r>
        <w:rPr>
          <w:szCs w:val="21"/>
        </w:rPr>
        <w:t>市场间数据交互要求如下</w:t>
      </w:r>
      <w:r>
        <w:t>：</w:t>
      </w:r>
    </w:p>
    <w:p>
      <w:pPr>
        <w:pStyle w:val="53"/>
        <w:spacing w:line="300" w:lineRule="auto"/>
        <w:ind w:firstLine="480"/>
        <w:rPr>
          <w:szCs w:val="21"/>
        </w:rPr>
      </w:pPr>
      <w:r>
        <w:rPr>
          <w:szCs w:val="21"/>
        </w:rPr>
        <w:t>1)</w:t>
      </w:r>
      <w:r>
        <w:rPr>
          <w:szCs w:val="21"/>
        </w:rPr>
        <w:tab/>
      </w:r>
      <w:r>
        <w:rPr>
          <w:szCs w:val="21"/>
        </w:rPr>
        <w:t>交互对象。应支持与其它电力现货市场运营系统、调度系统之间进行数据交互。</w:t>
      </w:r>
    </w:p>
    <w:p>
      <w:pPr>
        <w:pStyle w:val="53"/>
        <w:spacing w:line="300" w:lineRule="auto"/>
        <w:ind w:firstLine="480"/>
        <w:rPr>
          <w:szCs w:val="21"/>
        </w:rPr>
      </w:pPr>
      <w:r>
        <w:rPr>
          <w:szCs w:val="21"/>
        </w:rPr>
        <w:t>2)</w:t>
      </w:r>
      <w:r>
        <w:rPr>
          <w:szCs w:val="21"/>
        </w:rPr>
        <w:tab/>
      </w:r>
      <w:r>
        <w:rPr>
          <w:szCs w:val="21"/>
        </w:rPr>
        <w:t>输入范围。应支持接入机组上网电量、机组合同实际执行出力、</w:t>
      </w:r>
      <w:r>
        <w:rPr>
          <w:rFonts w:hint="eastAsia"/>
          <w:szCs w:val="21"/>
        </w:rPr>
        <w:t>跨市场</w:t>
      </w:r>
      <w:r>
        <w:rPr>
          <w:szCs w:val="21"/>
        </w:rPr>
        <w:t>送受电量、</w:t>
      </w:r>
      <w:r>
        <w:rPr>
          <w:rFonts w:hint="eastAsia"/>
          <w:szCs w:val="21"/>
        </w:rPr>
        <w:t>跨市场</w:t>
      </w:r>
      <w:r>
        <w:rPr>
          <w:szCs w:val="21"/>
        </w:rPr>
        <w:t>合同实际执行出力等。</w:t>
      </w:r>
    </w:p>
    <w:p>
      <w:pPr>
        <w:pStyle w:val="53"/>
        <w:spacing w:line="300" w:lineRule="auto"/>
        <w:ind w:firstLine="480"/>
        <w:rPr>
          <w:szCs w:val="21"/>
        </w:rPr>
      </w:pPr>
      <w:r>
        <w:rPr>
          <w:szCs w:val="21"/>
        </w:rPr>
        <w:t>3)</w:t>
      </w:r>
      <w:r>
        <w:rPr>
          <w:szCs w:val="21"/>
        </w:rPr>
        <w:tab/>
      </w:r>
      <w:r>
        <w:rPr>
          <w:szCs w:val="21"/>
        </w:rPr>
        <w:t>输出范围。应支持输出</w:t>
      </w:r>
      <w:r>
        <w:rPr>
          <w:rFonts w:hint="eastAsia"/>
          <w:szCs w:val="21"/>
        </w:rPr>
        <w:t>本</w:t>
      </w:r>
      <w:r>
        <w:rPr>
          <w:szCs w:val="21"/>
        </w:rPr>
        <w:t>市场需求曲线、联络线计划调整反馈。</w:t>
      </w:r>
    </w:p>
    <w:p>
      <w:pPr>
        <w:pStyle w:val="53"/>
        <w:spacing w:line="300" w:lineRule="auto"/>
        <w:ind w:firstLine="480"/>
        <w:rPr>
          <w:szCs w:val="21"/>
        </w:rPr>
      </w:pPr>
      <w:r>
        <w:rPr>
          <w:szCs w:val="21"/>
        </w:rPr>
        <w:t>4)</w:t>
      </w:r>
      <w:r>
        <w:rPr>
          <w:szCs w:val="21"/>
        </w:rPr>
        <w:tab/>
      </w:r>
      <w:r>
        <w:rPr>
          <w:szCs w:val="21"/>
        </w:rPr>
        <w:t>数据周期。数据的时间周期应支持分钟级时间粒度。</w:t>
      </w:r>
    </w:p>
    <w:p>
      <w:pPr>
        <w:pStyle w:val="53"/>
        <w:spacing w:line="300" w:lineRule="auto"/>
        <w:ind w:firstLine="480"/>
        <w:rPr>
          <w:szCs w:val="21"/>
        </w:rPr>
      </w:pPr>
      <w:r>
        <w:rPr>
          <w:szCs w:val="21"/>
        </w:rPr>
        <w:t>5)</w:t>
      </w:r>
      <w:r>
        <w:rPr>
          <w:szCs w:val="21"/>
        </w:rPr>
        <w:tab/>
      </w:r>
      <w:r>
        <w:rPr>
          <w:szCs w:val="21"/>
        </w:rPr>
        <w:t>交互周期。接入至运营</w:t>
      </w:r>
      <w:r>
        <w:rPr>
          <w:rFonts w:hint="eastAsia"/>
          <w:szCs w:val="21"/>
        </w:rPr>
        <w:t>系统</w:t>
      </w:r>
      <w:r>
        <w:rPr>
          <w:szCs w:val="21"/>
        </w:rPr>
        <w:t>的数据，数据应支持按小时、按日、按周、按月交互。</w:t>
      </w:r>
    </w:p>
    <w:p>
      <w:pPr>
        <w:pStyle w:val="53"/>
        <w:spacing w:line="300" w:lineRule="auto"/>
        <w:ind w:firstLine="480"/>
        <w:rPr>
          <w:szCs w:val="21"/>
        </w:rPr>
      </w:pPr>
      <w:r>
        <w:rPr>
          <w:szCs w:val="21"/>
        </w:rPr>
        <w:t>6)</w:t>
      </w:r>
      <w:r>
        <w:rPr>
          <w:szCs w:val="21"/>
        </w:rPr>
        <w:tab/>
      </w:r>
      <w:r>
        <w:rPr>
          <w:szCs w:val="21"/>
        </w:rPr>
        <w:t>数据主体。数据交互的主体范围应包括发电机组、电力用户、售电</w:t>
      </w:r>
      <w:r>
        <w:rPr>
          <w:rFonts w:hint="eastAsia"/>
          <w:szCs w:val="21"/>
        </w:rPr>
        <w:t>企业</w:t>
      </w:r>
      <w:r>
        <w:rPr>
          <w:szCs w:val="21"/>
        </w:rPr>
        <w:t>、电网</w:t>
      </w:r>
      <w:r>
        <w:rPr>
          <w:rFonts w:hint="eastAsia"/>
          <w:szCs w:val="21"/>
        </w:rPr>
        <w:t>运营</w:t>
      </w:r>
      <w:r>
        <w:rPr>
          <w:szCs w:val="21"/>
        </w:rPr>
        <w:t>企业等。</w:t>
      </w:r>
    </w:p>
    <w:p>
      <w:pPr>
        <w:pStyle w:val="53"/>
        <w:spacing w:line="300" w:lineRule="auto"/>
        <w:ind w:firstLine="480"/>
        <w:rPr>
          <w:szCs w:val="21"/>
        </w:rPr>
      </w:pPr>
      <w:r>
        <w:rPr>
          <w:szCs w:val="21"/>
        </w:rPr>
        <w:t>7)</w:t>
      </w:r>
      <w:r>
        <w:rPr>
          <w:szCs w:val="21"/>
        </w:rPr>
        <w:tab/>
      </w:r>
      <w:r>
        <w:rPr>
          <w:szCs w:val="21"/>
        </w:rPr>
        <w:t>交互方式。</w:t>
      </w:r>
      <w:r>
        <w:t>应支持自动定时推送、按条件推送、连续滚动推送及手动触发推送4种方式。</w:t>
      </w:r>
    </w:p>
    <w:p>
      <w:pPr>
        <w:pStyle w:val="2"/>
      </w:pPr>
      <w:bookmarkStart w:id="253" w:name="_Toc500597450"/>
      <w:bookmarkStart w:id="254" w:name="_Toc511389245"/>
      <w:r>
        <w:t>与外部系统数据交互</w:t>
      </w:r>
      <w:bookmarkEnd w:id="253"/>
      <w:bookmarkEnd w:id="254"/>
    </w:p>
    <w:p>
      <w:pPr>
        <w:pStyle w:val="3"/>
      </w:pPr>
      <w:bookmarkStart w:id="255" w:name="_Toc511389246"/>
      <w:r>
        <w:t>与EMS系统数据交互</w:t>
      </w:r>
      <w:bookmarkEnd w:id="255"/>
    </w:p>
    <w:p>
      <w:pPr>
        <w:snapToGrid w:val="0"/>
        <w:spacing w:line="300" w:lineRule="auto"/>
        <w:ind w:firstLine="480" w:firstLineChars="200"/>
      </w:pPr>
      <w:r>
        <w:rPr>
          <w:lang w:val="sv-SE"/>
        </w:rPr>
        <w:t>运营系统</w:t>
      </w:r>
      <w:r>
        <w:t>从EMS系统获取电网模型、网络约束及运行数据。包括电网模型数据、SCADA机组运行数据、断面控制信息、关键输电线关口断面稳定限额、新能源预测信息等。</w:t>
      </w:r>
    </w:p>
    <w:p>
      <w:pPr>
        <w:snapToGrid w:val="0"/>
        <w:spacing w:line="300" w:lineRule="auto"/>
        <w:ind w:firstLine="480" w:firstLineChars="200"/>
      </w:pPr>
      <w:r>
        <w:t>运营系统将日前、日内和实时调度计划以及</w:t>
      </w:r>
      <w:r>
        <w:rPr>
          <w:lang w:val="zh-CN"/>
        </w:rPr>
        <w:t>调频等</w:t>
      </w:r>
      <w:r>
        <w:t>辅助服务的优化和实际调用结果发布到EMS系统。</w:t>
      </w:r>
    </w:p>
    <w:p/>
    <w:p>
      <w:pPr>
        <w:pStyle w:val="3"/>
      </w:pPr>
      <w:bookmarkStart w:id="256" w:name="_Toc511389247"/>
      <w:bookmarkStart w:id="257" w:name="_Toc500597452"/>
      <w:r>
        <w:t>与OMS系统数据交互</w:t>
      </w:r>
      <w:bookmarkEnd w:id="256"/>
      <w:bookmarkEnd w:id="257"/>
    </w:p>
    <w:p>
      <w:pPr>
        <w:snapToGrid w:val="0"/>
        <w:spacing w:line="300" w:lineRule="auto"/>
        <w:ind w:firstLine="480" w:firstLineChars="200"/>
      </w:pPr>
      <w:r>
        <w:t>运营系统从OMS系统获取</w:t>
      </w:r>
      <w:r>
        <w:rPr>
          <w:rFonts w:hint="eastAsia"/>
        </w:rPr>
        <w:t>发电和输变电设备</w:t>
      </w:r>
      <w:r>
        <w:t>检修及投退役计划等数据。包括机组检修单、输变电设备检修单、设备投运、设备退役信息等。</w:t>
      </w:r>
    </w:p>
    <w:p/>
    <w:p>
      <w:pPr>
        <w:pStyle w:val="3"/>
      </w:pPr>
      <w:bookmarkStart w:id="258" w:name="_Toc511389248"/>
      <w:r>
        <w:t>与中长期电力交易平台数据交互</w:t>
      </w:r>
      <w:bookmarkEnd w:id="258"/>
    </w:p>
    <w:p>
      <w:pPr>
        <w:snapToGrid w:val="0"/>
        <w:spacing w:line="300" w:lineRule="auto"/>
        <w:ind w:firstLine="480" w:firstLineChars="200"/>
      </w:pPr>
      <w:r>
        <w:t>运营系统从中长期电力交易平台获取发电企业、售电</w:t>
      </w:r>
      <w:r>
        <w:rPr>
          <w:rFonts w:hint="eastAsia"/>
        </w:rPr>
        <w:t>企业、</w:t>
      </w:r>
      <w:r>
        <w:t>电力用户等市场成员的注册</w:t>
      </w:r>
      <w:r>
        <w:rPr>
          <w:rFonts w:hint="eastAsia"/>
        </w:rPr>
        <w:t>信息</w:t>
      </w:r>
      <w:r>
        <w:t>。</w:t>
      </w:r>
    </w:p>
    <w:p>
      <w:pPr>
        <w:snapToGrid w:val="0"/>
        <w:spacing w:line="300" w:lineRule="auto"/>
        <w:ind w:firstLine="480" w:firstLineChars="200"/>
      </w:pPr>
      <w:r>
        <w:rPr>
          <w:rFonts w:hint="eastAsia"/>
        </w:rPr>
        <w:t>运营系统从中长期电力交易平台获取中长期实物合同。</w:t>
      </w:r>
    </w:p>
    <w:p>
      <w:pPr>
        <w:snapToGrid w:val="0"/>
        <w:spacing w:line="300" w:lineRule="auto"/>
        <w:ind w:firstLine="480" w:firstLineChars="200"/>
      </w:pPr>
      <w:r>
        <w:t>运营系统向中长期电力交易平台输出现货交易及辅助服务交易结果等信息。</w:t>
      </w:r>
    </w:p>
    <w:p>
      <w:pPr>
        <w:snapToGrid w:val="0"/>
        <w:spacing w:line="300" w:lineRule="auto"/>
        <w:ind w:firstLine="480" w:firstLineChars="200"/>
      </w:pPr>
    </w:p>
    <w:p>
      <w:pPr>
        <w:pStyle w:val="3"/>
      </w:pPr>
      <w:bookmarkStart w:id="259" w:name="_Toc502677757"/>
      <w:bookmarkEnd w:id="259"/>
      <w:bookmarkStart w:id="260" w:name="_Toc500597454"/>
      <w:bookmarkStart w:id="261" w:name="_Toc511389249"/>
      <w:r>
        <w:t>与电量计量系统</w:t>
      </w:r>
      <w:bookmarkEnd w:id="260"/>
      <w:r>
        <w:t>数据交互</w:t>
      </w:r>
      <w:bookmarkEnd w:id="261"/>
    </w:p>
    <w:p>
      <w:pPr>
        <w:snapToGrid w:val="0"/>
        <w:spacing w:line="300" w:lineRule="auto"/>
        <w:ind w:firstLine="480" w:firstLineChars="200"/>
      </w:pPr>
      <w:r>
        <w:t>运营系统从电能量计量系统中获取机组每日分时上网电量数据。</w:t>
      </w:r>
    </w:p>
    <w:p>
      <w:pPr>
        <w:snapToGrid w:val="0"/>
        <w:spacing w:line="300" w:lineRule="auto"/>
        <w:ind w:firstLine="480" w:firstLineChars="200"/>
      </w:pPr>
    </w:p>
    <w:p>
      <w:pPr>
        <w:pStyle w:val="3"/>
      </w:pPr>
      <w:bookmarkStart w:id="262" w:name="_Toc511389250"/>
      <w:r>
        <w:t>与电力现货市场结算系统数据交互</w:t>
      </w:r>
      <w:bookmarkEnd w:id="262"/>
    </w:p>
    <w:p>
      <w:pPr>
        <w:snapToGrid w:val="0"/>
        <w:spacing w:line="300" w:lineRule="auto"/>
        <w:ind w:firstLine="480" w:firstLineChars="200"/>
      </w:pPr>
      <w:r>
        <w:t>运营系统将日前市场、日内市场、平衡机制和辅助服务市场出清结果发送到电力现货市场结算系统。</w:t>
      </w:r>
    </w:p>
    <w:p>
      <w:pPr>
        <w:pStyle w:val="2"/>
      </w:pPr>
      <w:bookmarkStart w:id="263" w:name="_Toc511389251"/>
      <w:bookmarkStart w:id="264" w:name="_Toc500597455"/>
      <w:r>
        <w:t>安全防护</w:t>
      </w:r>
      <w:bookmarkEnd w:id="263"/>
    </w:p>
    <w:p>
      <w:pPr>
        <w:pStyle w:val="3"/>
      </w:pPr>
      <w:bookmarkStart w:id="265" w:name="_Toc511389252"/>
      <w:r>
        <w:t>总体要求</w:t>
      </w:r>
      <w:bookmarkEnd w:id="265"/>
    </w:p>
    <w:p>
      <w:pPr>
        <w:snapToGrid w:val="0"/>
        <w:spacing w:line="300" w:lineRule="auto"/>
        <w:ind w:firstLine="480" w:firstLineChars="200"/>
      </w:pPr>
      <w:r>
        <w:t>运营系统的安全防护依据《中华人民共和国网络安全法》、《电力监控系统安全防护规定》</w:t>
      </w:r>
      <w:r>
        <w:rPr>
          <w:rFonts w:hint="eastAsia"/>
        </w:rPr>
        <w:t>（国家发展改革委2014年第14号令）</w:t>
      </w:r>
      <w:r>
        <w:t>和《电力监控系统安全防护方案》</w:t>
      </w:r>
      <w:r>
        <w:rPr>
          <w:rFonts w:hint="eastAsia"/>
        </w:rPr>
        <w:t>（国能安全〔2015〕36号）</w:t>
      </w:r>
      <w:r>
        <w:t>，根据业务系统的不断完善加强对系统的防护，最大限度地保障系统的安全、可靠和稳定运行。</w:t>
      </w:r>
    </w:p>
    <w:p>
      <w:pPr>
        <w:snapToGrid w:val="0"/>
        <w:spacing w:line="300" w:lineRule="auto"/>
        <w:ind w:firstLine="480" w:firstLineChars="200"/>
      </w:pPr>
      <w:r>
        <w:t>运营系统安全防护具体又可划分为网络安全、主机安全、应用安全、数据安全、终端安全、监测预警、系统灾备等方面。</w:t>
      </w:r>
    </w:p>
    <w:p>
      <w:pPr>
        <w:snapToGrid w:val="0"/>
        <w:spacing w:line="300" w:lineRule="auto"/>
        <w:ind w:firstLine="480" w:firstLineChars="200"/>
      </w:pPr>
    </w:p>
    <w:p>
      <w:pPr>
        <w:pStyle w:val="3"/>
      </w:pPr>
      <w:bookmarkStart w:id="266" w:name="_Toc511389253"/>
      <w:r>
        <w:t>网络安全</w:t>
      </w:r>
      <w:bookmarkEnd w:id="266"/>
    </w:p>
    <w:p>
      <w:pPr>
        <w:snapToGrid w:val="0"/>
        <w:spacing w:line="300" w:lineRule="auto"/>
        <w:ind w:firstLine="480" w:firstLineChars="200"/>
      </w:pPr>
      <w:r>
        <w:t>运营系统网络安全防护包括网络交换设备（如路由器、交换机等）和网络安全设备（如防火墙、电力专用横向单向隔离装置等），采用设备安全配置管理策略，对关键网络链路提供硬件设备冗余，对设备配置进行安全备份，对设备软件系统进行及时更新，通过网络漏洞扫描加强网络安全管理。在网络通道建设方面，采用网络专用策略，对互联网业务通信采用强身份认证和数据加密、签名手段保障网络通信安全。</w:t>
      </w:r>
    </w:p>
    <w:p>
      <w:pPr>
        <w:snapToGrid w:val="0"/>
        <w:spacing w:line="300" w:lineRule="auto"/>
        <w:ind w:firstLine="480" w:firstLineChars="200"/>
      </w:pPr>
    </w:p>
    <w:p>
      <w:pPr>
        <w:pStyle w:val="3"/>
      </w:pPr>
      <w:bookmarkStart w:id="267" w:name="_Toc511389254"/>
      <w:r>
        <w:t>主机安全</w:t>
      </w:r>
      <w:bookmarkEnd w:id="267"/>
    </w:p>
    <w:p>
      <w:pPr>
        <w:snapToGrid w:val="0"/>
        <w:spacing w:line="300" w:lineRule="auto"/>
        <w:ind w:firstLine="480" w:firstLineChars="200"/>
      </w:pPr>
      <w:r>
        <w:t>运营系统的主机操作系统采用国家有关部门指定的安全操作系统，提供身份认证、访问控制、安全审计、恶意代码与漏洞防范等必要措施，以及采取及时的升级更新策略提升主机安全性。</w:t>
      </w:r>
    </w:p>
    <w:p>
      <w:pPr>
        <w:snapToGrid w:val="0"/>
        <w:spacing w:line="300" w:lineRule="auto"/>
        <w:ind w:firstLine="480" w:firstLineChars="200"/>
      </w:pPr>
    </w:p>
    <w:p>
      <w:pPr>
        <w:pStyle w:val="3"/>
      </w:pPr>
      <w:bookmarkStart w:id="268" w:name="_Toc511389255"/>
      <w:r>
        <w:t>应用安全</w:t>
      </w:r>
      <w:bookmarkEnd w:id="268"/>
    </w:p>
    <w:p>
      <w:pPr>
        <w:snapToGrid w:val="0"/>
        <w:spacing w:line="300" w:lineRule="auto"/>
        <w:ind w:firstLine="480" w:firstLineChars="200"/>
      </w:pPr>
      <w:r>
        <w:t>运营系统的应用服务及业务信息面临用户认证欺骗、权限及信息泄露、篡改等风险，严格采用双因子用户身份认证，对敏感信息进行加密存储及传输，加强应用权限管理。强化日志审计管理，提供可作为法律证据的日志记录，日志记录应采取安全措施保存至少六个月以上。</w:t>
      </w:r>
    </w:p>
    <w:p>
      <w:pPr>
        <w:snapToGrid w:val="0"/>
        <w:spacing w:line="300" w:lineRule="auto"/>
        <w:ind w:firstLine="480" w:firstLineChars="200"/>
      </w:pPr>
    </w:p>
    <w:p>
      <w:pPr>
        <w:pStyle w:val="3"/>
      </w:pPr>
      <w:bookmarkStart w:id="269" w:name="_Toc511389256"/>
      <w:r>
        <w:t>数据安全</w:t>
      </w:r>
      <w:bookmarkEnd w:id="269"/>
    </w:p>
    <w:p>
      <w:pPr>
        <w:snapToGrid w:val="0"/>
        <w:spacing w:line="300" w:lineRule="auto"/>
        <w:ind w:firstLine="480" w:firstLineChars="200"/>
      </w:pPr>
      <w:r>
        <w:t>运营系统的敏感数据包括电力交易数据申报信息、电力交易单据信息、计划结算结果信息等，在传输及存储的过程中，面临篡改及泄露风险，应采取数据加密、签名和数据使用权限限制手段，保障数据安全。为保障信息系统的容灾能力，对重点数据进行有效备份。</w:t>
      </w:r>
    </w:p>
    <w:p>
      <w:pPr>
        <w:snapToGrid w:val="0"/>
        <w:spacing w:line="300" w:lineRule="auto"/>
        <w:ind w:firstLine="480" w:firstLineChars="200"/>
      </w:pPr>
    </w:p>
    <w:p>
      <w:pPr>
        <w:pStyle w:val="3"/>
      </w:pPr>
      <w:bookmarkStart w:id="270" w:name="_Toc511389257"/>
      <w:r>
        <w:t>终端安全</w:t>
      </w:r>
      <w:bookmarkEnd w:id="270"/>
      <w:r>
        <w:t xml:space="preserve"> </w:t>
      </w:r>
    </w:p>
    <w:p>
      <w:pPr>
        <w:snapToGrid w:val="0"/>
        <w:spacing w:line="300" w:lineRule="auto"/>
        <w:ind w:firstLine="480" w:firstLineChars="200"/>
      </w:pPr>
      <w:r>
        <w:t>运营系统涉及使用的终端应采用基于专用硬件的双因子认证机制保证用户身份的真实性。终端系统应部署专用的终端安全防护软件，提供网络安全通信、权限访问控制、病毒及恶意代码防范、系统升级更新等安全措施为使用者提供安全访问环境。</w:t>
      </w:r>
    </w:p>
    <w:p>
      <w:pPr>
        <w:snapToGrid w:val="0"/>
        <w:spacing w:line="300" w:lineRule="auto"/>
        <w:ind w:firstLine="480" w:firstLineChars="200"/>
      </w:pPr>
    </w:p>
    <w:p>
      <w:pPr>
        <w:pStyle w:val="3"/>
      </w:pPr>
      <w:bookmarkStart w:id="271" w:name="_Toc511389258"/>
      <w:r>
        <w:t>监测预警</w:t>
      </w:r>
      <w:bookmarkEnd w:id="271"/>
      <w:r>
        <w:t xml:space="preserve"> </w:t>
      </w:r>
    </w:p>
    <w:p>
      <w:pPr>
        <w:snapToGrid w:val="0"/>
        <w:spacing w:line="300" w:lineRule="auto"/>
        <w:ind w:firstLine="480" w:firstLineChars="200"/>
      </w:pPr>
      <w:r>
        <w:t>运营系统应采取监测、记录网络运行状态、网络安全事件的技术措施，对安全事件进行分析提供预警信息，并按照规定留存相关的网络日志不少于六个月。</w:t>
      </w:r>
    </w:p>
    <w:p>
      <w:pPr>
        <w:snapToGrid w:val="0"/>
        <w:spacing w:line="300" w:lineRule="auto"/>
        <w:ind w:firstLine="480" w:firstLineChars="200"/>
      </w:pPr>
    </w:p>
    <w:p>
      <w:pPr>
        <w:pStyle w:val="3"/>
      </w:pPr>
      <w:bookmarkStart w:id="272" w:name="_Toc511389259"/>
      <w:r>
        <w:t>系统灾备</w:t>
      </w:r>
      <w:bookmarkEnd w:id="272"/>
      <w:r>
        <w:t xml:space="preserve"> </w:t>
      </w:r>
    </w:p>
    <w:p>
      <w:pPr>
        <w:snapToGrid w:val="0"/>
        <w:spacing w:line="300" w:lineRule="auto"/>
        <w:ind w:firstLine="480" w:firstLineChars="200"/>
      </w:pPr>
      <w:r>
        <w:t>运营系统应建设异地容灾机制，对系统运行的硬件环境和关键数据进行备份。当发生灾害事件或安全事件影响系统服务时，应及时启用备用系统保障服务正常运行。</w:t>
      </w:r>
      <w:bookmarkEnd w:id="91"/>
      <w:bookmarkEnd w:id="264"/>
    </w:p>
    <w:sectPr>
      <w:headerReference r:id="rId8" w:type="first"/>
      <w:footerReference r:id="rId9" w:type="default"/>
      <w:footnotePr>
        <w:numRestart w:val="eachPage"/>
      </w:footnotePr>
      <w:pgSz w:w="11906" w:h="16838"/>
      <w:pgMar w:top="1134" w:right="1418" w:bottom="1134" w:left="1418" w:header="851" w:footer="992" w:gutter="0"/>
      <w:pgNumType w:start="1"/>
      <w:cols w:space="720" w:num="1"/>
      <w:docGrid w:linePitch="326"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4">
      <wne:acd wne:acdName="acd2"/>
    </wne:keymap>
  </wne:keymaps>
  <wne:toolbars>
    <wne:toolbarData r:id="rId1"/>
  </wne:toolbars>
  <wne:acds>
    <wne:acd wne:argValue="AgAHaJiYIAAxACwAO04HaJiYLABDAGgAYQBwAHQAZQByACAATABlAHYAZQBsAA==" wne:acdName="acd0" wne:fciIndexBasedOn="0065"/>
    <wne:acd wne:argValue="AgAHaJiYIAAyACwAgoIHaJiYLAAATqd+goINVCwAB2iYmDEA" wne:acdName="acd1" wne:fciIndexBasedOn="0065"/>
    <wne:acd wne:argValue="AQAAAAQA" wne:acdName="acd2"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1"/>
      </w:rPr>
    </w:pPr>
  </w:p>
  <w:p>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4694745"/>
      <w:docPartObj>
        <w:docPartGallery w:val="AutoText"/>
      </w:docPartObj>
    </w:sdtPr>
    <w:sdtContent>
      <w:p>
        <w:pPr>
          <w:pStyle w:val="22"/>
          <w:jc w:val="center"/>
        </w:pPr>
        <w:r>
          <w:fldChar w:fldCharType="begin"/>
        </w:r>
        <w:r>
          <w:instrText xml:space="preserve">PAGE   \* MERGEFORMAT</w:instrText>
        </w:r>
        <w:r>
          <w:fldChar w:fldCharType="separate"/>
        </w:r>
        <w:r>
          <w:rPr>
            <w:lang w:val="zh-CN"/>
          </w:rPr>
          <w:t>II</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rPr>
    </w:pPr>
    <w:r>
      <w:rPr>
        <w:rStyle w:val="31"/>
        <w:sz w:val="18"/>
        <w:szCs w:val="18"/>
      </w:rPr>
      <w:fldChar w:fldCharType="begin"/>
    </w:r>
    <w:r>
      <w:rPr>
        <w:rStyle w:val="31"/>
        <w:sz w:val="18"/>
        <w:szCs w:val="18"/>
      </w:rPr>
      <w:instrText xml:space="preserve"> PAGE </w:instrText>
    </w:r>
    <w:r>
      <w:rPr>
        <w:rStyle w:val="31"/>
        <w:sz w:val="18"/>
        <w:szCs w:val="18"/>
      </w:rPr>
      <w:fldChar w:fldCharType="separate"/>
    </w:r>
    <w:r>
      <w:rPr>
        <w:rStyle w:val="31"/>
        <w:sz w:val="18"/>
        <w:szCs w:val="18"/>
      </w:rPr>
      <w:t>I</w:t>
    </w:r>
    <w:r>
      <w:rPr>
        <w:rStyle w:val="31"/>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8789666"/>
      <w:docPartObj>
        <w:docPartGallery w:val="AutoText"/>
      </w:docPartObj>
    </w:sdtPr>
    <w:sdtContent>
      <w:p>
        <w:pPr>
          <w:pStyle w:val="22"/>
          <w:jc w:val="center"/>
        </w:pPr>
        <w:r>
          <w:fldChar w:fldCharType="begin"/>
        </w:r>
        <w:r>
          <w:instrText xml:space="preserve">PAGE   \* MERGEFORMAT</w:instrText>
        </w:r>
        <w:r>
          <w:fldChar w:fldCharType="separate"/>
        </w:r>
        <w:r>
          <w:rPr>
            <w:lang w:val="zh-CN"/>
          </w:rPr>
          <w:t>17</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E59"/>
    <w:multiLevelType w:val="multilevel"/>
    <w:tmpl w:val="00A85E59"/>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00E8660A"/>
    <w:multiLevelType w:val="multilevel"/>
    <w:tmpl w:val="00E8660A"/>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0F44516"/>
    <w:multiLevelType w:val="multilevel"/>
    <w:tmpl w:val="00F44516"/>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04707561"/>
    <w:multiLevelType w:val="multilevel"/>
    <w:tmpl w:val="04707561"/>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072D6885"/>
    <w:multiLevelType w:val="multilevel"/>
    <w:tmpl w:val="072D6885"/>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08611D68"/>
    <w:multiLevelType w:val="multilevel"/>
    <w:tmpl w:val="08611D68"/>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08C81BE7"/>
    <w:multiLevelType w:val="multilevel"/>
    <w:tmpl w:val="08C81BE7"/>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
    <w:nsid w:val="09E5581D"/>
    <w:multiLevelType w:val="multilevel"/>
    <w:tmpl w:val="09E5581D"/>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0ACD07E2"/>
    <w:multiLevelType w:val="multilevel"/>
    <w:tmpl w:val="0ACD07E2"/>
    <w:lvl w:ilvl="0" w:tentative="0">
      <w:start w:val="1"/>
      <w:numFmt w:val="bullet"/>
      <w:lvlText w:val=""/>
      <w:lvlJc w:val="left"/>
      <w:pPr>
        <w:ind w:left="1320" w:hanging="420"/>
      </w:pPr>
      <w:rPr>
        <w:rFonts w:hint="default" w:ascii="Wingdings" w:hAnsi="Wingdings"/>
      </w:rPr>
    </w:lvl>
    <w:lvl w:ilvl="1" w:tentative="0">
      <w:start w:val="1"/>
      <w:numFmt w:val="bullet"/>
      <w:lvlText w:val=""/>
      <w:lvlJc w:val="left"/>
      <w:pPr>
        <w:ind w:left="1740" w:hanging="420"/>
      </w:pPr>
      <w:rPr>
        <w:rFonts w:hint="default" w:ascii="Wingdings" w:hAnsi="Wingdings"/>
      </w:rPr>
    </w:lvl>
    <w:lvl w:ilvl="2" w:tentative="0">
      <w:start w:val="1"/>
      <w:numFmt w:val="bullet"/>
      <w:lvlText w:val=""/>
      <w:lvlJc w:val="left"/>
      <w:pPr>
        <w:ind w:left="2160" w:hanging="420"/>
      </w:pPr>
      <w:rPr>
        <w:rFonts w:hint="default" w:ascii="Wingdings" w:hAnsi="Wingdings"/>
      </w:rPr>
    </w:lvl>
    <w:lvl w:ilvl="3" w:tentative="0">
      <w:start w:val="1"/>
      <w:numFmt w:val="bullet"/>
      <w:lvlText w:val=""/>
      <w:lvlJc w:val="left"/>
      <w:pPr>
        <w:ind w:left="2580" w:hanging="420"/>
      </w:pPr>
      <w:rPr>
        <w:rFonts w:hint="default" w:ascii="Wingdings" w:hAnsi="Wingdings"/>
      </w:rPr>
    </w:lvl>
    <w:lvl w:ilvl="4" w:tentative="0">
      <w:start w:val="1"/>
      <w:numFmt w:val="bullet"/>
      <w:lvlText w:val=""/>
      <w:lvlJc w:val="left"/>
      <w:pPr>
        <w:ind w:left="3000" w:hanging="420"/>
      </w:pPr>
      <w:rPr>
        <w:rFonts w:hint="default" w:ascii="Wingdings" w:hAnsi="Wingdings"/>
      </w:rPr>
    </w:lvl>
    <w:lvl w:ilvl="5" w:tentative="0">
      <w:start w:val="1"/>
      <w:numFmt w:val="bullet"/>
      <w:lvlText w:val=""/>
      <w:lvlJc w:val="left"/>
      <w:pPr>
        <w:ind w:left="3420" w:hanging="420"/>
      </w:pPr>
      <w:rPr>
        <w:rFonts w:hint="default" w:ascii="Wingdings" w:hAnsi="Wingdings"/>
      </w:rPr>
    </w:lvl>
    <w:lvl w:ilvl="6" w:tentative="0">
      <w:start w:val="1"/>
      <w:numFmt w:val="bullet"/>
      <w:lvlText w:val=""/>
      <w:lvlJc w:val="left"/>
      <w:pPr>
        <w:ind w:left="3840" w:hanging="420"/>
      </w:pPr>
      <w:rPr>
        <w:rFonts w:hint="default" w:ascii="Wingdings" w:hAnsi="Wingdings"/>
      </w:rPr>
    </w:lvl>
    <w:lvl w:ilvl="7" w:tentative="0">
      <w:start w:val="1"/>
      <w:numFmt w:val="bullet"/>
      <w:lvlText w:val=""/>
      <w:lvlJc w:val="left"/>
      <w:pPr>
        <w:ind w:left="4260" w:hanging="420"/>
      </w:pPr>
      <w:rPr>
        <w:rFonts w:hint="default" w:ascii="Wingdings" w:hAnsi="Wingdings"/>
      </w:rPr>
    </w:lvl>
    <w:lvl w:ilvl="8" w:tentative="0">
      <w:start w:val="1"/>
      <w:numFmt w:val="bullet"/>
      <w:lvlText w:val=""/>
      <w:lvlJc w:val="left"/>
      <w:pPr>
        <w:ind w:left="4680" w:hanging="420"/>
      </w:pPr>
      <w:rPr>
        <w:rFonts w:hint="default" w:ascii="Wingdings" w:hAnsi="Wingdings"/>
      </w:rPr>
    </w:lvl>
  </w:abstractNum>
  <w:abstractNum w:abstractNumId="9">
    <w:nsid w:val="0B656412"/>
    <w:multiLevelType w:val="multilevel"/>
    <w:tmpl w:val="0B656412"/>
    <w:lvl w:ilvl="0" w:tentative="0">
      <w:start w:val="1"/>
      <w:numFmt w:val="low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0E88221F"/>
    <w:multiLevelType w:val="multilevel"/>
    <w:tmpl w:val="0E88221F"/>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1">
    <w:nsid w:val="0F235E9F"/>
    <w:multiLevelType w:val="multilevel"/>
    <w:tmpl w:val="0F235E9F"/>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2">
    <w:nsid w:val="11407E7D"/>
    <w:multiLevelType w:val="multilevel"/>
    <w:tmpl w:val="11407E7D"/>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12213D0C"/>
    <w:multiLevelType w:val="multilevel"/>
    <w:tmpl w:val="12213D0C"/>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12A20499"/>
    <w:multiLevelType w:val="multilevel"/>
    <w:tmpl w:val="12A20499"/>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15477408"/>
    <w:multiLevelType w:val="multilevel"/>
    <w:tmpl w:val="15477408"/>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16EB57C2"/>
    <w:multiLevelType w:val="multilevel"/>
    <w:tmpl w:val="16EB57C2"/>
    <w:lvl w:ilvl="0" w:tentative="0">
      <w:start w:val="1"/>
      <w:numFmt w:val="decimal"/>
      <w:pStyle w:val="2"/>
      <w:suff w:val="space"/>
      <w:lvlText w:val="%1"/>
      <w:lvlJc w:val="left"/>
      <w:pPr>
        <w:ind w:left="432" w:hanging="432"/>
      </w:pPr>
      <w:rPr>
        <w:rFonts w:hint="eastAsia"/>
      </w:rPr>
    </w:lvl>
    <w:lvl w:ilvl="1" w:tentative="0">
      <w:start w:val="1"/>
      <w:numFmt w:val="decimal"/>
      <w:pStyle w:val="3"/>
      <w:suff w:val="space"/>
      <w:lvlText w:val="%1.%2"/>
      <w:lvlJc w:val="left"/>
      <w:pPr>
        <w:ind w:left="576" w:hanging="576"/>
      </w:pPr>
      <w:rPr>
        <w:rFonts w:hint="default" w:ascii="Times New Roman" w:hAnsi="Times New Roman" w:cs="Times New Roman"/>
        <w:b w:val="0"/>
        <w:color w:val="auto"/>
        <w:sz w:val="24"/>
        <w:szCs w:val="21"/>
      </w:rPr>
    </w:lvl>
    <w:lvl w:ilvl="2" w:tentative="0">
      <w:start w:val="1"/>
      <w:numFmt w:val="decimal"/>
      <w:pStyle w:val="4"/>
      <w:suff w:val="space"/>
      <w:lvlText w:val="%1.%2.%3"/>
      <w:lvlJc w:val="left"/>
      <w:pPr>
        <w:ind w:left="720" w:hanging="720"/>
      </w:pPr>
      <w:rPr>
        <w:rFonts w:hint="default" w:ascii="Times New Roman" w:hAnsi="Times New Roman" w:eastAsia="黑体" w:cs="Times New Roman"/>
        <w:b w:val="0"/>
      </w:rPr>
    </w:lvl>
    <w:lvl w:ilvl="3" w:tentative="0">
      <w:start w:val="1"/>
      <w:numFmt w:val="decimal"/>
      <w:pStyle w:val="5"/>
      <w:suff w:val="space"/>
      <w:lvlText w:val="%1.%2.%3.%4"/>
      <w:lvlJc w:val="left"/>
      <w:pPr>
        <w:ind w:left="864" w:hanging="864"/>
      </w:pPr>
      <w:rPr>
        <w:rFonts w:hint="default" w:ascii="Times New Roman" w:hAnsi="Times New Roman" w:cs="Times New Roman"/>
        <w:b w:val="0"/>
        <w:sz w:val="21"/>
        <w:szCs w:val="21"/>
      </w:rPr>
    </w:lvl>
    <w:lvl w:ilvl="4" w:tentative="0">
      <w:start w:val="1"/>
      <w:numFmt w:val="decimal"/>
      <w:pStyle w:val="6"/>
      <w:lvlText w:val="%1.%2.%3.%4.%5"/>
      <w:lvlJc w:val="left"/>
      <w:pPr>
        <w:tabs>
          <w:tab w:val="left" w:pos="1008"/>
        </w:tabs>
        <w:ind w:left="1008" w:hanging="1008"/>
      </w:pPr>
      <w:rPr>
        <w:rFonts w:hint="eastAsia"/>
        <w:sz w:val="21"/>
        <w:szCs w:val="21"/>
      </w:rPr>
    </w:lvl>
    <w:lvl w:ilvl="5" w:tentative="0">
      <w:start w:val="1"/>
      <w:numFmt w:val="decimal"/>
      <w:pStyle w:val="7"/>
      <w:lvlText w:val="%1.%2.%3.%4.%5.%6"/>
      <w:lvlJc w:val="left"/>
      <w:pPr>
        <w:tabs>
          <w:tab w:val="left" w:pos="1152"/>
        </w:tabs>
        <w:ind w:left="1152" w:hanging="1152"/>
      </w:pPr>
      <w:rPr>
        <w:rFonts w:hint="eastAsia"/>
        <w:b w:val="0"/>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17">
    <w:nsid w:val="18AF2621"/>
    <w:multiLevelType w:val="multilevel"/>
    <w:tmpl w:val="18AF2621"/>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191C0B28"/>
    <w:multiLevelType w:val="multilevel"/>
    <w:tmpl w:val="191C0B28"/>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1A5858E7"/>
    <w:multiLevelType w:val="multilevel"/>
    <w:tmpl w:val="1A5858E7"/>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
    <w:nsid w:val="1B8C6F0C"/>
    <w:multiLevelType w:val="multilevel"/>
    <w:tmpl w:val="1B8C6F0C"/>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207603F9"/>
    <w:multiLevelType w:val="multilevel"/>
    <w:tmpl w:val="207603F9"/>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22F30402"/>
    <w:multiLevelType w:val="multilevel"/>
    <w:tmpl w:val="22F30402"/>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3">
    <w:nsid w:val="23900C3F"/>
    <w:multiLevelType w:val="multilevel"/>
    <w:tmpl w:val="23900C3F"/>
    <w:lvl w:ilvl="0" w:tentative="0">
      <w:start w:val="1"/>
      <w:numFmt w:val="low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4">
    <w:nsid w:val="262F0190"/>
    <w:multiLevelType w:val="multilevel"/>
    <w:tmpl w:val="262F0190"/>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5">
    <w:nsid w:val="265F443F"/>
    <w:multiLevelType w:val="multilevel"/>
    <w:tmpl w:val="265F443F"/>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6">
    <w:nsid w:val="273423FE"/>
    <w:multiLevelType w:val="multilevel"/>
    <w:tmpl w:val="273423FE"/>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7">
    <w:nsid w:val="27367FD5"/>
    <w:multiLevelType w:val="multilevel"/>
    <w:tmpl w:val="27367FD5"/>
    <w:lvl w:ilvl="0" w:tentative="0">
      <w:start w:val="1"/>
      <w:numFmt w:val="lowerLetter"/>
      <w:lvlText w:val="%1)"/>
      <w:lvlJc w:val="left"/>
      <w:pPr>
        <w:ind w:left="900" w:hanging="420"/>
      </w:pPr>
      <w:rPr>
        <w:rFonts w:hint="default"/>
      </w:rPr>
    </w:lvl>
    <w:lvl w:ilvl="1" w:tentative="0">
      <w:start w:val="1"/>
      <w:numFmt w:val="decimal"/>
      <w:lvlText w:val="%2）"/>
      <w:lvlJc w:val="left"/>
      <w:pPr>
        <w:ind w:left="1695" w:hanging="795"/>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8">
    <w:nsid w:val="2A6F11FB"/>
    <w:multiLevelType w:val="multilevel"/>
    <w:tmpl w:val="2A6F11FB"/>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9">
    <w:nsid w:val="2AC50617"/>
    <w:multiLevelType w:val="multilevel"/>
    <w:tmpl w:val="2AC50617"/>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0">
    <w:nsid w:val="2C4C2623"/>
    <w:multiLevelType w:val="multilevel"/>
    <w:tmpl w:val="2C4C2623"/>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1">
    <w:nsid w:val="2D026A2A"/>
    <w:multiLevelType w:val="multilevel"/>
    <w:tmpl w:val="2D026A2A"/>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2">
    <w:nsid w:val="2F174112"/>
    <w:multiLevelType w:val="multilevel"/>
    <w:tmpl w:val="2F174112"/>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3">
    <w:nsid w:val="30F67B5A"/>
    <w:multiLevelType w:val="multilevel"/>
    <w:tmpl w:val="30F67B5A"/>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4">
    <w:nsid w:val="330747CD"/>
    <w:multiLevelType w:val="multilevel"/>
    <w:tmpl w:val="330747CD"/>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5">
    <w:nsid w:val="34306438"/>
    <w:multiLevelType w:val="multilevel"/>
    <w:tmpl w:val="34306438"/>
    <w:lvl w:ilvl="0" w:tentative="0">
      <w:start w:val="1"/>
      <w:numFmt w:val="low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6">
    <w:nsid w:val="357E682B"/>
    <w:multiLevelType w:val="multilevel"/>
    <w:tmpl w:val="357E682B"/>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7">
    <w:nsid w:val="35CF786F"/>
    <w:multiLevelType w:val="multilevel"/>
    <w:tmpl w:val="35CF786F"/>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8">
    <w:nsid w:val="370628D9"/>
    <w:multiLevelType w:val="multilevel"/>
    <w:tmpl w:val="370628D9"/>
    <w:lvl w:ilvl="0" w:tentative="0">
      <w:start w:val="1"/>
      <w:numFmt w:val="lowerLetter"/>
      <w:lvlText w:val="%1)"/>
      <w:lvlJc w:val="left"/>
      <w:pPr>
        <w:ind w:left="846" w:hanging="420"/>
      </w:pPr>
      <w:rPr>
        <w:rFonts w:hint="default"/>
      </w:rPr>
    </w:lvl>
    <w:lvl w:ilvl="1" w:tentative="0">
      <w:start w:val="1"/>
      <w:numFmt w:val="lowerLetter"/>
      <w:lvlText w:val="%2)"/>
      <w:lvlJc w:val="left"/>
      <w:pPr>
        <w:ind w:left="1036" w:hanging="420"/>
      </w:pPr>
    </w:lvl>
    <w:lvl w:ilvl="2" w:tentative="0">
      <w:start w:val="1"/>
      <w:numFmt w:val="lowerRoman"/>
      <w:lvlText w:val="%3."/>
      <w:lvlJc w:val="right"/>
      <w:pPr>
        <w:ind w:left="1456" w:hanging="420"/>
      </w:pPr>
    </w:lvl>
    <w:lvl w:ilvl="3" w:tentative="0">
      <w:start w:val="1"/>
      <w:numFmt w:val="decimal"/>
      <w:lvlText w:val="%4."/>
      <w:lvlJc w:val="left"/>
      <w:pPr>
        <w:ind w:left="1876" w:hanging="420"/>
      </w:pPr>
    </w:lvl>
    <w:lvl w:ilvl="4" w:tentative="0">
      <w:start w:val="1"/>
      <w:numFmt w:val="lowerLetter"/>
      <w:lvlText w:val="%5)"/>
      <w:lvlJc w:val="left"/>
      <w:pPr>
        <w:ind w:left="2296" w:hanging="420"/>
      </w:pPr>
    </w:lvl>
    <w:lvl w:ilvl="5" w:tentative="0">
      <w:start w:val="1"/>
      <w:numFmt w:val="lowerRoman"/>
      <w:lvlText w:val="%6."/>
      <w:lvlJc w:val="right"/>
      <w:pPr>
        <w:ind w:left="2716" w:hanging="420"/>
      </w:pPr>
    </w:lvl>
    <w:lvl w:ilvl="6" w:tentative="0">
      <w:start w:val="1"/>
      <w:numFmt w:val="decimal"/>
      <w:lvlText w:val="%7."/>
      <w:lvlJc w:val="left"/>
      <w:pPr>
        <w:ind w:left="3136" w:hanging="420"/>
      </w:pPr>
    </w:lvl>
    <w:lvl w:ilvl="7" w:tentative="0">
      <w:start w:val="1"/>
      <w:numFmt w:val="lowerLetter"/>
      <w:lvlText w:val="%8)"/>
      <w:lvlJc w:val="left"/>
      <w:pPr>
        <w:ind w:left="3556" w:hanging="420"/>
      </w:pPr>
    </w:lvl>
    <w:lvl w:ilvl="8" w:tentative="0">
      <w:start w:val="1"/>
      <w:numFmt w:val="lowerRoman"/>
      <w:lvlText w:val="%9."/>
      <w:lvlJc w:val="right"/>
      <w:pPr>
        <w:ind w:left="3976" w:hanging="420"/>
      </w:pPr>
    </w:lvl>
  </w:abstractNum>
  <w:abstractNum w:abstractNumId="39">
    <w:nsid w:val="374F0468"/>
    <w:multiLevelType w:val="multilevel"/>
    <w:tmpl w:val="374F0468"/>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0">
    <w:nsid w:val="37A61694"/>
    <w:multiLevelType w:val="multilevel"/>
    <w:tmpl w:val="37A61694"/>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1">
    <w:nsid w:val="37EB5E68"/>
    <w:multiLevelType w:val="multilevel"/>
    <w:tmpl w:val="37EB5E68"/>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2">
    <w:nsid w:val="3B3E0293"/>
    <w:multiLevelType w:val="multilevel"/>
    <w:tmpl w:val="3B3E0293"/>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3">
    <w:nsid w:val="3C780B0D"/>
    <w:multiLevelType w:val="multilevel"/>
    <w:tmpl w:val="3C780B0D"/>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4">
    <w:nsid w:val="3D425324"/>
    <w:multiLevelType w:val="multilevel"/>
    <w:tmpl w:val="3D425324"/>
    <w:lvl w:ilvl="0" w:tentative="0">
      <w:start w:val="1"/>
      <w:numFmt w:val="lowerLetter"/>
      <w:lvlText w:val="%1)"/>
      <w:lvlJc w:val="left"/>
      <w:pPr>
        <w:ind w:left="704" w:hanging="42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45">
    <w:nsid w:val="3DA11902"/>
    <w:multiLevelType w:val="multilevel"/>
    <w:tmpl w:val="3DA11902"/>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6">
    <w:nsid w:val="3FB37025"/>
    <w:multiLevelType w:val="multilevel"/>
    <w:tmpl w:val="3FB37025"/>
    <w:lvl w:ilvl="0" w:tentative="0">
      <w:start w:val="1"/>
      <w:numFmt w:val="lowerLetter"/>
      <w:lvlText w:val="%1)"/>
      <w:lvlJc w:val="left"/>
      <w:pPr>
        <w:ind w:left="987" w:hanging="4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7">
    <w:nsid w:val="409A1352"/>
    <w:multiLevelType w:val="multilevel"/>
    <w:tmpl w:val="409A1352"/>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8">
    <w:nsid w:val="431F2BE5"/>
    <w:multiLevelType w:val="multilevel"/>
    <w:tmpl w:val="431F2BE5"/>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9">
    <w:nsid w:val="43276835"/>
    <w:multiLevelType w:val="multilevel"/>
    <w:tmpl w:val="43276835"/>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0">
    <w:nsid w:val="43525DC0"/>
    <w:multiLevelType w:val="multilevel"/>
    <w:tmpl w:val="43525DC0"/>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1">
    <w:nsid w:val="443F651D"/>
    <w:multiLevelType w:val="multilevel"/>
    <w:tmpl w:val="443F651D"/>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2">
    <w:nsid w:val="46A746CF"/>
    <w:multiLevelType w:val="multilevel"/>
    <w:tmpl w:val="46A746CF"/>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3">
    <w:nsid w:val="46BA1A9D"/>
    <w:multiLevelType w:val="multilevel"/>
    <w:tmpl w:val="46BA1A9D"/>
    <w:lvl w:ilvl="0" w:tentative="0">
      <w:start w:val="1"/>
      <w:numFmt w:val="lowerLetter"/>
      <w:pStyle w:val="56"/>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4735726E"/>
    <w:multiLevelType w:val="multilevel"/>
    <w:tmpl w:val="4735726E"/>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5">
    <w:nsid w:val="48E77C8B"/>
    <w:multiLevelType w:val="multilevel"/>
    <w:tmpl w:val="48E77C8B"/>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6">
    <w:nsid w:val="48FA6EB0"/>
    <w:multiLevelType w:val="multilevel"/>
    <w:tmpl w:val="48FA6EB0"/>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7">
    <w:nsid w:val="4AE9194D"/>
    <w:multiLevelType w:val="multilevel"/>
    <w:tmpl w:val="4AE9194D"/>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8">
    <w:nsid w:val="4DB856BA"/>
    <w:multiLevelType w:val="multilevel"/>
    <w:tmpl w:val="4DB856BA"/>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9">
    <w:nsid w:val="51491CC6"/>
    <w:multiLevelType w:val="multilevel"/>
    <w:tmpl w:val="51491CC6"/>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0">
    <w:nsid w:val="53E073C1"/>
    <w:multiLevelType w:val="multilevel"/>
    <w:tmpl w:val="53E073C1"/>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1">
    <w:nsid w:val="53F9495B"/>
    <w:multiLevelType w:val="multilevel"/>
    <w:tmpl w:val="53F9495B"/>
    <w:lvl w:ilvl="0" w:tentative="0">
      <w:start w:val="1"/>
      <w:numFmt w:val="lowerLetter"/>
      <w:lvlText w:val="%1)"/>
      <w:lvlJc w:val="left"/>
      <w:pPr>
        <w:ind w:left="900" w:hanging="420"/>
      </w:pPr>
      <w:rPr>
        <w:rFonts w:hint="default"/>
      </w:rPr>
    </w:lvl>
    <w:lvl w:ilvl="1" w:tentative="0">
      <w:start w:val="1"/>
      <w:numFmt w:val="decimal"/>
      <w:lvlText w:val="%2）"/>
      <w:lvlJc w:val="left"/>
      <w:pPr>
        <w:ind w:left="1695" w:hanging="795"/>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2">
    <w:nsid w:val="55F559D9"/>
    <w:multiLevelType w:val="multilevel"/>
    <w:tmpl w:val="55F559D9"/>
    <w:lvl w:ilvl="0" w:tentative="0">
      <w:start w:val="1"/>
      <w:numFmt w:val="bullet"/>
      <w:lvlText w:val=""/>
      <w:lvlJc w:val="left"/>
      <w:pPr>
        <w:ind w:left="987" w:hanging="420"/>
      </w:pPr>
      <w:rPr>
        <w:rFonts w:hint="default" w:ascii="Wingdings" w:hAnsi="Wingdings"/>
      </w:rPr>
    </w:lvl>
    <w:lvl w:ilvl="1" w:tentative="0">
      <w:start w:val="1"/>
      <w:numFmt w:val="bullet"/>
      <w:lvlText w:val=""/>
      <w:lvlJc w:val="left"/>
      <w:pPr>
        <w:ind w:left="1458" w:hanging="420"/>
      </w:pPr>
      <w:rPr>
        <w:rFonts w:hint="default" w:ascii="Wingdings" w:hAnsi="Wingdings"/>
      </w:rPr>
    </w:lvl>
    <w:lvl w:ilvl="2" w:tentative="0">
      <w:start w:val="1"/>
      <w:numFmt w:val="bullet"/>
      <w:lvlText w:val=""/>
      <w:lvlJc w:val="left"/>
      <w:pPr>
        <w:ind w:left="1878" w:hanging="420"/>
      </w:pPr>
      <w:rPr>
        <w:rFonts w:hint="default" w:ascii="Wingdings" w:hAnsi="Wingdings"/>
      </w:rPr>
    </w:lvl>
    <w:lvl w:ilvl="3" w:tentative="0">
      <w:start w:val="1"/>
      <w:numFmt w:val="bullet"/>
      <w:lvlText w:val=""/>
      <w:lvlJc w:val="left"/>
      <w:pPr>
        <w:ind w:left="2298" w:hanging="420"/>
      </w:pPr>
      <w:rPr>
        <w:rFonts w:hint="default" w:ascii="Wingdings" w:hAnsi="Wingdings"/>
      </w:rPr>
    </w:lvl>
    <w:lvl w:ilvl="4" w:tentative="0">
      <w:start w:val="1"/>
      <w:numFmt w:val="bullet"/>
      <w:lvlText w:val=""/>
      <w:lvlJc w:val="left"/>
      <w:pPr>
        <w:ind w:left="2718" w:hanging="420"/>
      </w:pPr>
      <w:rPr>
        <w:rFonts w:hint="default" w:ascii="Wingdings" w:hAnsi="Wingdings"/>
      </w:rPr>
    </w:lvl>
    <w:lvl w:ilvl="5" w:tentative="0">
      <w:start w:val="1"/>
      <w:numFmt w:val="bullet"/>
      <w:lvlText w:val=""/>
      <w:lvlJc w:val="left"/>
      <w:pPr>
        <w:ind w:left="3138" w:hanging="420"/>
      </w:pPr>
      <w:rPr>
        <w:rFonts w:hint="default" w:ascii="Wingdings" w:hAnsi="Wingdings"/>
      </w:rPr>
    </w:lvl>
    <w:lvl w:ilvl="6" w:tentative="0">
      <w:start w:val="1"/>
      <w:numFmt w:val="bullet"/>
      <w:lvlText w:val=""/>
      <w:lvlJc w:val="left"/>
      <w:pPr>
        <w:ind w:left="3558" w:hanging="420"/>
      </w:pPr>
      <w:rPr>
        <w:rFonts w:hint="default" w:ascii="Wingdings" w:hAnsi="Wingdings"/>
      </w:rPr>
    </w:lvl>
    <w:lvl w:ilvl="7" w:tentative="0">
      <w:start w:val="1"/>
      <w:numFmt w:val="bullet"/>
      <w:lvlText w:val=""/>
      <w:lvlJc w:val="left"/>
      <w:pPr>
        <w:ind w:left="3978" w:hanging="420"/>
      </w:pPr>
      <w:rPr>
        <w:rFonts w:hint="default" w:ascii="Wingdings" w:hAnsi="Wingdings"/>
      </w:rPr>
    </w:lvl>
    <w:lvl w:ilvl="8" w:tentative="0">
      <w:start w:val="1"/>
      <w:numFmt w:val="bullet"/>
      <w:lvlText w:val=""/>
      <w:lvlJc w:val="left"/>
      <w:pPr>
        <w:ind w:left="4398" w:hanging="420"/>
      </w:pPr>
      <w:rPr>
        <w:rFonts w:hint="default" w:ascii="Wingdings" w:hAnsi="Wingdings"/>
      </w:rPr>
    </w:lvl>
  </w:abstractNum>
  <w:abstractNum w:abstractNumId="63">
    <w:nsid w:val="5741278B"/>
    <w:multiLevelType w:val="multilevel"/>
    <w:tmpl w:val="5741278B"/>
    <w:lvl w:ilvl="0" w:tentative="0">
      <w:start w:val="1"/>
      <w:numFmt w:val="lowerLetter"/>
      <w:lvlText w:val="%1)"/>
      <w:lvlJc w:val="left"/>
      <w:pPr>
        <w:ind w:left="900" w:hanging="420"/>
      </w:pPr>
      <w:rPr>
        <w:rFonts w:hint="default"/>
      </w:rPr>
    </w:lvl>
    <w:lvl w:ilvl="1" w:tentative="0">
      <w:start w:val="1"/>
      <w:numFmt w:val="decimal"/>
      <w:lvlText w:val="%2）"/>
      <w:lvlJc w:val="left"/>
      <w:pPr>
        <w:ind w:left="1695" w:hanging="795"/>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4">
    <w:nsid w:val="58A85C65"/>
    <w:multiLevelType w:val="multilevel"/>
    <w:tmpl w:val="58A85C65"/>
    <w:lvl w:ilvl="0" w:tentative="0">
      <w:start w:val="1"/>
      <w:numFmt w:val="lowerLetter"/>
      <w:lvlText w:val="%1)"/>
      <w:lvlJc w:val="left"/>
      <w:pPr>
        <w:ind w:left="987" w:hanging="4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65">
    <w:nsid w:val="58A916CF"/>
    <w:multiLevelType w:val="multilevel"/>
    <w:tmpl w:val="58A916CF"/>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6">
    <w:nsid w:val="5A56576F"/>
    <w:multiLevelType w:val="multilevel"/>
    <w:tmpl w:val="5A56576F"/>
    <w:lvl w:ilvl="0" w:tentative="0">
      <w:start w:val="1"/>
      <w:numFmt w:val="lowerLetter"/>
      <w:lvlText w:val="%1)"/>
      <w:lvlJc w:val="left"/>
      <w:pPr>
        <w:ind w:left="900" w:hanging="420"/>
      </w:pPr>
      <w:rPr>
        <w:rFonts w:hint="default"/>
      </w:rPr>
    </w:lvl>
    <w:lvl w:ilvl="1" w:tentative="0">
      <w:start w:val="1"/>
      <w:numFmt w:val="decimal"/>
      <w:lvlText w:val="%2）"/>
      <w:lvlJc w:val="left"/>
      <w:pPr>
        <w:ind w:left="1695" w:hanging="795"/>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7">
    <w:nsid w:val="5ACE65A9"/>
    <w:multiLevelType w:val="multilevel"/>
    <w:tmpl w:val="5ACE65A9"/>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8">
    <w:nsid w:val="5AE72707"/>
    <w:multiLevelType w:val="multilevel"/>
    <w:tmpl w:val="5AE72707"/>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9">
    <w:nsid w:val="5C451661"/>
    <w:multiLevelType w:val="multilevel"/>
    <w:tmpl w:val="5C451661"/>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0">
    <w:nsid w:val="5F0351B8"/>
    <w:multiLevelType w:val="multilevel"/>
    <w:tmpl w:val="5F0351B8"/>
    <w:lvl w:ilvl="0" w:tentative="0">
      <w:start w:val="1"/>
      <w:numFmt w:val="lowerLetter"/>
      <w:lvlText w:val="%1)"/>
      <w:lvlJc w:val="left"/>
      <w:pPr>
        <w:ind w:left="987" w:hanging="4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71">
    <w:nsid w:val="5F73113F"/>
    <w:multiLevelType w:val="multilevel"/>
    <w:tmpl w:val="5F73113F"/>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2">
    <w:nsid w:val="5F921F3B"/>
    <w:multiLevelType w:val="multilevel"/>
    <w:tmpl w:val="5F921F3B"/>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3">
    <w:nsid w:val="60266FC6"/>
    <w:multiLevelType w:val="multilevel"/>
    <w:tmpl w:val="60266FC6"/>
    <w:lvl w:ilvl="0" w:tentative="0">
      <w:start w:val="1"/>
      <w:numFmt w:val="upperLetter"/>
      <w:pStyle w:val="19"/>
      <w:suff w:val="space"/>
      <w:lvlText w:val="Annex %1"/>
      <w:lvlJc w:val="left"/>
      <w:pPr>
        <w:ind w:left="0" w:firstLine="0"/>
      </w:pPr>
    </w:lvl>
    <w:lvl w:ilvl="1" w:tentative="0">
      <w:start w:val="1"/>
      <w:numFmt w:val="decimal"/>
      <w:lvlText w:val="%1.%2"/>
      <w:lvlJc w:val="left"/>
      <w:pPr>
        <w:tabs>
          <w:tab w:val="left" w:pos="680"/>
        </w:tabs>
        <w:ind w:left="680" w:hanging="680"/>
      </w:pPr>
    </w:lvl>
    <w:lvl w:ilvl="2" w:tentative="0">
      <w:start w:val="1"/>
      <w:numFmt w:val="decimal"/>
      <w:pStyle w:val="39"/>
      <w:lvlText w:val="%1.%2.%3"/>
      <w:lvlJc w:val="left"/>
      <w:pPr>
        <w:tabs>
          <w:tab w:val="left" w:pos="907"/>
        </w:tabs>
        <w:ind w:left="907" w:hanging="907"/>
      </w:pPr>
    </w:lvl>
    <w:lvl w:ilvl="3" w:tentative="0">
      <w:start w:val="1"/>
      <w:numFmt w:val="decimal"/>
      <w:pStyle w:val="40"/>
      <w:lvlText w:val="%1.%2.%3.%4"/>
      <w:lvlJc w:val="left"/>
      <w:pPr>
        <w:tabs>
          <w:tab w:val="left" w:pos="1134"/>
        </w:tabs>
        <w:ind w:left="1134" w:hanging="1134"/>
      </w:pPr>
    </w:lvl>
    <w:lvl w:ilvl="4" w:tentative="0">
      <w:start w:val="1"/>
      <w:numFmt w:val="decimal"/>
      <w:pStyle w:val="41"/>
      <w:lvlText w:val="%1.%2.%3.%4.%5"/>
      <w:lvlJc w:val="left"/>
      <w:pPr>
        <w:tabs>
          <w:tab w:val="left" w:pos="1361"/>
        </w:tabs>
        <w:ind w:left="1361" w:hanging="1361"/>
      </w:pPr>
    </w:lvl>
    <w:lvl w:ilvl="5" w:tentative="0">
      <w:start w:val="1"/>
      <w:numFmt w:val="decimal"/>
      <w:pStyle w:val="42"/>
      <w:lvlText w:val="%1.%2.%3.%4.%5.%6"/>
      <w:lvlJc w:val="left"/>
      <w:pPr>
        <w:tabs>
          <w:tab w:val="left" w:pos="1588"/>
        </w:tabs>
        <w:ind w:left="1588" w:hanging="1588"/>
      </w:pPr>
    </w:lvl>
    <w:lvl w:ilvl="6" w:tentative="0">
      <w:start w:val="1"/>
      <w:numFmt w:val="decimal"/>
      <w:lvlText w:val="%1.%2.%3.%4.%5.%6.%7"/>
      <w:lvlJc w:val="left"/>
      <w:pPr>
        <w:tabs>
          <w:tab w:val="left" w:pos="0"/>
        </w:tabs>
        <w:ind w:left="0" w:firstLine="0"/>
      </w:pPr>
    </w:lvl>
    <w:lvl w:ilvl="7" w:tentative="0">
      <w:start w:val="1"/>
      <w:numFmt w:val="decimal"/>
      <w:lvlText w:val="%1.%2.%3.%4.%5.%6.%7.%8"/>
      <w:lvlJc w:val="left"/>
      <w:pPr>
        <w:tabs>
          <w:tab w:val="left" w:pos="0"/>
        </w:tabs>
        <w:ind w:left="0" w:firstLine="0"/>
      </w:pPr>
    </w:lvl>
    <w:lvl w:ilvl="8" w:tentative="0">
      <w:start w:val="1"/>
      <w:numFmt w:val="decimal"/>
      <w:lvlText w:val="%1.%2.%3.%4.%5.%6.%7.%8.%9"/>
      <w:lvlJc w:val="left"/>
      <w:pPr>
        <w:tabs>
          <w:tab w:val="left" w:pos="0"/>
        </w:tabs>
        <w:ind w:left="0" w:firstLine="0"/>
      </w:pPr>
    </w:lvl>
  </w:abstractNum>
  <w:abstractNum w:abstractNumId="74">
    <w:nsid w:val="60C373A0"/>
    <w:multiLevelType w:val="multilevel"/>
    <w:tmpl w:val="60C373A0"/>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5">
    <w:nsid w:val="61E5469A"/>
    <w:multiLevelType w:val="multilevel"/>
    <w:tmpl w:val="61E5469A"/>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6">
    <w:nsid w:val="62C97249"/>
    <w:multiLevelType w:val="multilevel"/>
    <w:tmpl w:val="62C97249"/>
    <w:lvl w:ilvl="0" w:tentative="0">
      <w:start w:val="1"/>
      <w:numFmt w:val="low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7">
    <w:nsid w:val="64DC0989"/>
    <w:multiLevelType w:val="multilevel"/>
    <w:tmpl w:val="64DC0989"/>
    <w:lvl w:ilvl="0" w:tentative="0">
      <w:start w:val="1"/>
      <w:numFmt w:val="lowerLetter"/>
      <w:lvlText w:val="%1)"/>
      <w:lvlJc w:val="left"/>
      <w:pPr>
        <w:ind w:left="987" w:hanging="4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78">
    <w:nsid w:val="655832FF"/>
    <w:multiLevelType w:val="multilevel"/>
    <w:tmpl w:val="655832FF"/>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9">
    <w:nsid w:val="65F710B3"/>
    <w:multiLevelType w:val="multilevel"/>
    <w:tmpl w:val="65F710B3"/>
    <w:lvl w:ilvl="0" w:tentative="0">
      <w:start w:val="1"/>
      <w:numFmt w:val="bullet"/>
      <w:lvlText w:val=""/>
      <w:lvlJc w:val="left"/>
      <w:pPr>
        <w:ind w:left="1320" w:hanging="420"/>
      </w:pPr>
      <w:rPr>
        <w:rFonts w:hint="default" w:ascii="Wingdings" w:hAnsi="Wingdings"/>
      </w:rPr>
    </w:lvl>
    <w:lvl w:ilvl="1" w:tentative="0">
      <w:start w:val="1"/>
      <w:numFmt w:val="bullet"/>
      <w:lvlText w:val=""/>
      <w:lvlJc w:val="left"/>
      <w:pPr>
        <w:ind w:left="1740" w:hanging="420"/>
      </w:pPr>
      <w:rPr>
        <w:rFonts w:hint="default" w:ascii="Wingdings" w:hAnsi="Wingdings"/>
      </w:rPr>
    </w:lvl>
    <w:lvl w:ilvl="2" w:tentative="0">
      <w:start w:val="1"/>
      <w:numFmt w:val="bullet"/>
      <w:lvlText w:val=""/>
      <w:lvlJc w:val="left"/>
      <w:pPr>
        <w:ind w:left="2160" w:hanging="420"/>
      </w:pPr>
      <w:rPr>
        <w:rFonts w:hint="default" w:ascii="Wingdings" w:hAnsi="Wingdings"/>
      </w:rPr>
    </w:lvl>
    <w:lvl w:ilvl="3" w:tentative="0">
      <w:start w:val="1"/>
      <w:numFmt w:val="bullet"/>
      <w:lvlText w:val=""/>
      <w:lvlJc w:val="left"/>
      <w:pPr>
        <w:ind w:left="2580" w:hanging="420"/>
      </w:pPr>
      <w:rPr>
        <w:rFonts w:hint="default" w:ascii="Wingdings" w:hAnsi="Wingdings"/>
      </w:rPr>
    </w:lvl>
    <w:lvl w:ilvl="4" w:tentative="0">
      <w:start w:val="1"/>
      <w:numFmt w:val="bullet"/>
      <w:lvlText w:val=""/>
      <w:lvlJc w:val="left"/>
      <w:pPr>
        <w:ind w:left="3000" w:hanging="420"/>
      </w:pPr>
      <w:rPr>
        <w:rFonts w:hint="default" w:ascii="Wingdings" w:hAnsi="Wingdings"/>
      </w:rPr>
    </w:lvl>
    <w:lvl w:ilvl="5" w:tentative="0">
      <w:start w:val="1"/>
      <w:numFmt w:val="bullet"/>
      <w:lvlText w:val=""/>
      <w:lvlJc w:val="left"/>
      <w:pPr>
        <w:ind w:left="3420" w:hanging="420"/>
      </w:pPr>
      <w:rPr>
        <w:rFonts w:hint="default" w:ascii="Wingdings" w:hAnsi="Wingdings"/>
      </w:rPr>
    </w:lvl>
    <w:lvl w:ilvl="6" w:tentative="0">
      <w:start w:val="1"/>
      <w:numFmt w:val="bullet"/>
      <w:lvlText w:val=""/>
      <w:lvlJc w:val="left"/>
      <w:pPr>
        <w:ind w:left="3840" w:hanging="420"/>
      </w:pPr>
      <w:rPr>
        <w:rFonts w:hint="default" w:ascii="Wingdings" w:hAnsi="Wingdings"/>
      </w:rPr>
    </w:lvl>
    <w:lvl w:ilvl="7" w:tentative="0">
      <w:start w:val="1"/>
      <w:numFmt w:val="bullet"/>
      <w:lvlText w:val=""/>
      <w:lvlJc w:val="left"/>
      <w:pPr>
        <w:ind w:left="4260" w:hanging="420"/>
      </w:pPr>
      <w:rPr>
        <w:rFonts w:hint="default" w:ascii="Wingdings" w:hAnsi="Wingdings"/>
      </w:rPr>
    </w:lvl>
    <w:lvl w:ilvl="8" w:tentative="0">
      <w:start w:val="1"/>
      <w:numFmt w:val="bullet"/>
      <w:lvlText w:val=""/>
      <w:lvlJc w:val="left"/>
      <w:pPr>
        <w:ind w:left="4680" w:hanging="420"/>
      </w:pPr>
      <w:rPr>
        <w:rFonts w:hint="default" w:ascii="Wingdings" w:hAnsi="Wingdings"/>
      </w:rPr>
    </w:lvl>
  </w:abstractNum>
  <w:abstractNum w:abstractNumId="80">
    <w:nsid w:val="666E65DC"/>
    <w:multiLevelType w:val="multilevel"/>
    <w:tmpl w:val="666E65DC"/>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81">
    <w:nsid w:val="68706974"/>
    <w:multiLevelType w:val="multilevel"/>
    <w:tmpl w:val="68706974"/>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2">
    <w:nsid w:val="69C61146"/>
    <w:multiLevelType w:val="multilevel"/>
    <w:tmpl w:val="69C61146"/>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3">
    <w:nsid w:val="6DFB75C2"/>
    <w:multiLevelType w:val="multilevel"/>
    <w:tmpl w:val="6DFB75C2"/>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84">
    <w:nsid w:val="70791068"/>
    <w:multiLevelType w:val="multilevel"/>
    <w:tmpl w:val="70791068"/>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5">
    <w:nsid w:val="750876B8"/>
    <w:multiLevelType w:val="multilevel"/>
    <w:tmpl w:val="750876B8"/>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86">
    <w:nsid w:val="751871F0"/>
    <w:multiLevelType w:val="multilevel"/>
    <w:tmpl w:val="751871F0"/>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7">
    <w:nsid w:val="767A7B18"/>
    <w:multiLevelType w:val="multilevel"/>
    <w:tmpl w:val="767A7B18"/>
    <w:lvl w:ilvl="0" w:tentative="0">
      <w:start w:val="1"/>
      <w:numFmt w:val="lowerLetter"/>
      <w:lvlText w:val="%1)"/>
      <w:lvlJc w:val="left"/>
      <w:pPr>
        <w:ind w:left="704" w:hanging="42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88">
    <w:nsid w:val="7762393F"/>
    <w:multiLevelType w:val="multilevel"/>
    <w:tmpl w:val="7762393F"/>
    <w:lvl w:ilvl="0" w:tentative="0">
      <w:start w:val="1"/>
      <w:numFmt w:val="bullet"/>
      <w:lvlText w:val=""/>
      <w:lvlJc w:val="left"/>
      <w:pPr>
        <w:ind w:left="1320" w:hanging="420"/>
      </w:pPr>
      <w:rPr>
        <w:rFonts w:hint="default" w:ascii="Wingdings" w:hAnsi="Wingdings"/>
      </w:rPr>
    </w:lvl>
    <w:lvl w:ilvl="1" w:tentative="0">
      <w:start w:val="1"/>
      <w:numFmt w:val="bullet"/>
      <w:lvlText w:val=""/>
      <w:lvlJc w:val="left"/>
      <w:pPr>
        <w:ind w:left="1740" w:hanging="420"/>
      </w:pPr>
      <w:rPr>
        <w:rFonts w:hint="default" w:ascii="Wingdings" w:hAnsi="Wingdings"/>
      </w:rPr>
    </w:lvl>
    <w:lvl w:ilvl="2" w:tentative="0">
      <w:start w:val="1"/>
      <w:numFmt w:val="bullet"/>
      <w:lvlText w:val=""/>
      <w:lvlJc w:val="left"/>
      <w:pPr>
        <w:ind w:left="2160" w:hanging="420"/>
      </w:pPr>
      <w:rPr>
        <w:rFonts w:hint="default" w:ascii="Wingdings" w:hAnsi="Wingdings"/>
      </w:rPr>
    </w:lvl>
    <w:lvl w:ilvl="3" w:tentative="0">
      <w:start w:val="1"/>
      <w:numFmt w:val="bullet"/>
      <w:lvlText w:val=""/>
      <w:lvlJc w:val="left"/>
      <w:pPr>
        <w:ind w:left="2580" w:hanging="420"/>
      </w:pPr>
      <w:rPr>
        <w:rFonts w:hint="default" w:ascii="Wingdings" w:hAnsi="Wingdings"/>
      </w:rPr>
    </w:lvl>
    <w:lvl w:ilvl="4" w:tentative="0">
      <w:start w:val="1"/>
      <w:numFmt w:val="bullet"/>
      <w:lvlText w:val=""/>
      <w:lvlJc w:val="left"/>
      <w:pPr>
        <w:ind w:left="3000" w:hanging="420"/>
      </w:pPr>
      <w:rPr>
        <w:rFonts w:hint="default" w:ascii="Wingdings" w:hAnsi="Wingdings"/>
      </w:rPr>
    </w:lvl>
    <w:lvl w:ilvl="5" w:tentative="0">
      <w:start w:val="1"/>
      <w:numFmt w:val="bullet"/>
      <w:lvlText w:val=""/>
      <w:lvlJc w:val="left"/>
      <w:pPr>
        <w:ind w:left="3420" w:hanging="420"/>
      </w:pPr>
      <w:rPr>
        <w:rFonts w:hint="default" w:ascii="Wingdings" w:hAnsi="Wingdings"/>
      </w:rPr>
    </w:lvl>
    <w:lvl w:ilvl="6" w:tentative="0">
      <w:start w:val="1"/>
      <w:numFmt w:val="bullet"/>
      <w:lvlText w:val=""/>
      <w:lvlJc w:val="left"/>
      <w:pPr>
        <w:ind w:left="3840" w:hanging="420"/>
      </w:pPr>
      <w:rPr>
        <w:rFonts w:hint="default" w:ascii="Wingdings" w:hAnsi="Wingdings"/>
      </w:rPr>
    </w:lvl>
    <w:lvl w:ilvl="7" w:tentative="0">
      <w:start w:val="1"/>
      <w:numFmt w:val="bullet"/>
      <w:lvlText w:val=""/>
      <w:lvlJc w:val="left"/>
      <w:pPr>
        <w:ind w:left="4260" w:hanging="420"/>
      </w:pPr>
      <w:rPr>
        <w:rFonts w:hint="default" w:ascii="Wingdings" w:hAnsi="Wingdings"/>
      </w:rPr>
    </w:lvl>
    <w:lvl w:ilvl="8" w:tentative="0">
      <w:start w:val="1"/>
      <w:numFmt w:val="bullet"/>
      <w:lvlText w:val=""/>
      <w:lvlJc w:val="left"/>
      <w:pPr>
        <w:ind w:left="4680" w:hanging="420"/>
      </w:pPr>
      <w:rPr>
        <w:rFonts w:hint="default" w:ascii="Wingdings" w:hAnsi="Wingdings"/>
      </w:rPr>
    </w:lvl>
  </w:abstractNum>
  <w:abstractNum w:abstractNumId="89">
    <w:nsid w:val="78B80913"/>
    <w:multiLevelType w:val="multilevel"/>
    <w:tmpl w:val="78B80913"/>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90">
    <w:nsid w:val="79C83A20"/>
    <w:multiLevelType w:val="multilevel"/>
    <w:tmpl w:val="79C83A20"/>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1">
    <w:nsid w:val="7D6B3E4E"/>
    <w:multiLevelType w:val="multilevel"/>
    <w:tmpl w:val="7D6B3E4E"/>
    <w:lvl w:ilvl="0" w:tentative="0">
      <w:start w:val="1"/>
      <w:numFmt w:val="low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2">
    <w:nsid w:val="7D6C7A7A"/>
    <w:multiLevelType w:val="multilevel"/>
    <w:tmpl w:val="7D6C7A7A"/>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93">
    <w:nsid w:val="7DAC1554"/>
    <w:multiLevelType w:val="multilevel"/>
    <w:tmpl w:val="7DAC1554"/>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4">
    <w:nsid w:val="7DD65D1F"/>
    <w:multiLevelType w:val="multilevel"/>
    <w:tmpl w:val="7DD65D1F"/>
    <w:lvl w:ilvl="0" w:tentative="0">
      <w:start w:val="1"/>
      <w:numFmt w:val="lowerLetter"/>
      <w:lvlText w:val="%1)"/>
      <w:lvlJc w:val="left"/>
      <w:pPr>
        <w:ind w:left="900" w:hanging="420"/>
      </w:pPr>
      <w:rPr>
        <w:rFonts w:hint="default"/>
      </w:rPr>
    </w:lvl>
    <w:lvl w:ilvl="1" w:tentative="0">
      <w:start w:val="1"/>
      <w:numFmt w:val="decimal"/>
      <w:lvlText w:val="%2）"/>
      <w:lvlJc w:val="left"/>
      <w:pPr>
        <w:ind w:left="1695" w:hanging="795"/>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5">
    <w:nsid w:val="7E386EC4"/>
    <w:multiLevelType w:val="multilevel"/>
    <w:tmpl w:val="7E386EC4"/>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6">
    <w:nsid w:val="7ED5065C"/>
    <w:multiLevelType w:val="multilevel"/>
    <w:tmpl w:val="7ED5065C"/>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6"/>
  </w:num>
  <w:num w:numId="2">
    <w:abstractNumId w:val="73"/>
  </w:num>
  <w:num w:numId="3">
    <w:abstractNumId w:val="53"/>
  </w:num>
  <w:num w:numId="4">
    <w:abstractNumId w:val="65"/>
  </w:num>
  <w:num w:numId="5">
    <w:abstractNumId w:val="40"/>
  </w:num>
  <w:num w:numId="6">
    <w:abstractNumId w:val="6"/>
  </w:num>
  <w:num w:numId="7">
    <w:abstractNumId w:val="85"/>
  </w:num>
  <w:num w:numId="8">
    <w:abstractNumId w:val="52"/>
  </w:num>
  <w:num w:numId="9">
    <w:abstractNumId w:val="80"/>
  </w:num>
  <w:num w:numId="10">
    <w:abstractNumId w:val="92"/>
  </w:num>
  <w:num w:numId="11">
    <w:abstractNumId w:val="33"/>
  </w:num>
  <w:num w:numId="12">
    <w:abstractNumId w:val="89"/>
  </w:num>
  <w:num w:numId="13">
    <w:abstractNumId w:val="41"/>
  </w:num>
  <w:num w:numId="14">
    <w:abstractNumId w:val="37"/>
  </w:num>
  <w:num w:numId="15">
    <w:abstractNumId w:val="68"/>
  </w:num>
  <w:num w:numId="16">
    <w:abstractNumId w:val="62"/>
  </w:num>
  <w:num w:numId="17">
    <w:abstractNumId w:val="72"/>
  </w:num>
  <w:num w:numId="18">
    <w:abstractNumId w:val="32"/>
  </w:num>
  <w:num w:numId="19">
    <w:abstractNumId w:val="38"/>
  </w:num>
  <w:num w:numId="20">
    <w:abstractNumId w:val="29"/>
  </w:num>
  <w:num w:numId="21">
    <w:abstractNumId w:val="13"/>
  </w:num>
  <w:num w:numId="22">
    <w:abstractNumId w:val="59"/>
  </w:num>
  <w:num w:numId="23">
    <w:abstractNumId w:val="77"/>
  </w:num>
  <w:num w:numId="24">
    <w:abstractNumId w:val="46"/>
  </w:num>
  <w:num w:numId="25">
    <w:abstractNumId w:val="70"/>
  </w:num>
  <w:num w:numId="26">
    <w:abstractNumId w:val="64"/>
  </w:num>
  <w:num w:numId="27">
    <w:abstractNumId w:val="93"/>
  </w:num>
  <w:num w:numId="28">
    <w:abstractNumId w:val="7"/>
  </w:num>
  <w:num w:numId="29">
    <w:abstractNumId w:val="18"/>
  </w:num>
  <w:num w:numId="30">
    <w:abstractNumId w:val="34"/>
  </w:num>
  <w:num w:numId="31">
    <w:abstractNumId w:val="42"/>
  </w:num>
  <w:num w:numId="32">
    <w:abstractNumId w:val="26"/>
  </w:num>
  <w:num w:numId="33">
    <w:abstractNumId w:val="14"/>
  </w:num>
  <w:num w:numId="34">
    <w:abstractNumId w:val="96"/>
  </w:num>
  <w:num w:numId="35">
    <w:abstractNumId w:val="69"/>
  </w:num>
  <w:num w:numId="36">
    <w:abstractNumId w:val="81"/>
  </w:num>
  <w:num w:numId="37">
    <w:abstractNumId w:val="8"/>
  </w:num>
  <w:num w:numId="38">
    <w:abstractNumId w:val="61"/>
  </w:num>
  <w:num w:numId="39">
    <w:abstractNumId w:val="94"/>
  </w:num>
  <w:num w:numId="40">
    <w:abstractNumId w:val="27"/>
  </w:num>
  <w:num w:numId="41">
    <w:abstractNumId w:val="66"/>
  </w:num>
  <w:num w:numId="42">
    <w:abstractNumId w:val="63"/>
  </w:num>
  <w:num w:numId="43">
    <w:abstractNumId w:val="17"/>
  </w:num>
  <w:num w:numId="44">
    <w:abstractNumId w:val="75"/>
  </w:num>
  <w:num w:numId="45">
    <w:abstractNumId w:val="12"/>
  </w:num>
  <w:num w:numId="46">
    <w:abstractNumId w:val="19"/>
  </w:num>
  <w:num w:numId="47">
    <w:abstractNumId w:val="82"/>
  </w:num>
  <w:num w:numId="48">
    <w:abstractNumId w:val="90"/>
  </w:num>
  <w:num w:numId="49">
    <w:abstractNumId w:val="88"/>
  </w:num>
  <w:num w:numId="50">
    <w:abstractNumId w:val="4"/>
  </w:num>
  <w:num w:numId="51">
    <w:abstractNumId w:val="48"/>
  </w:num>
  <w:num w:numId="52">
    <w:abstractNumId w:val="74"/>
  </w:num>
  <w:num w:numId="53">
    <w:abstractNumId w:val="57"/>
  </w:num>
  <w:num w:numId="54">
    <w:abstractNumId w:val="51"/>
  </w:num>
  <w:num w:numId="55">
    <w:abstractNumId w:val="58"/>
  </w:num>
  <w:num w:numId="56">
    <w:abstractNumId w:val="71"/>
  </w:num>
  <w:num w:numId="57">
    <w:abstractNumId w:val="54"/>
  </w:num>
  <w:num w:numId="58">
    <w:abstractNumId w:val="15"/>
  </w:num>
  <w:num w:numId="59">
    <w:abstractNumId w:val="86"/>
  </w:num>
  <w:num w:numId="60">
    <w:abstractNumId w:val="49"/>
  </w:num>
  <w:num w:numId="61">
    <w:abstractNumId w:val="79"/>
  </w:num>
  <w:num w:numId="62">
    <w:abstractNumId w:val="43"/>
  </w:num>
  <w:num w:numId="63">
    <w:abstractNumId w:val="31"/>
  </w:num>
  <w:num w:numId="64">
    <w:abstractNumId w:val="87"/>
  </w:num>
  <w:num w:numId="65">
    <w:abstractNumId w:val="44"/>
  </w:num>
  <w:num w:numId="66">
    <w:abstractNumId w:val="1"/>
  </w:num>
  <w:num w:numId="67">
    <w:abstractNumId w:val="47"/>
  </w:num>
  <w:num w:numId="68">
    <w:abstractNumId w:val="55"/>
  </w:num>
  <w:num w:numId="69">
    <w:abstractNumId w:val="45"/>
  </w:num>
  <w:num w:numId="70">
    <w:abstractNumId w:val="95"/>
  </w:num>
  <w:num w:numId="71">
    <w:abstractNumId w:val="25"/>
  </w:num>
  <w:num w:numId="72">
    <w:abstractNumId w:val="20"/>
  </w:num>
  <w:num w:numId="73">
    <w:abstractNumId w:val="67"/>
  </w:num>
  <w:num w:numId="74">
    <w:abstractNumId w:val="84"/>
  </w:num>
  <w:num w:numId="75">
    <w:abstractNumId w:val="22"/>
  </w:num>
  <w:num w:numId="76">
    <w:abstractNumId w:val="28"/>
  </w:num>
  <w:num w:numId="77">
    <w:abstractNumId w:val="56"/>
  </w:num>
  <w:num w:numId="78">
    <w:abstractNumId w:val="24"/>
  </w:num>
  <w:num w:numId="79">
    <w:abstractNumId w:val="50"/>
  </w:num>
  <w:num w:numId="80">
    <w:abstractNumId w:val="91"/>
  </w:num>
  <w:num w:numId="81">
    <w:abstractNumId w:val="23"/>
  </w:num>
  <w:num w:numId="82">
    <w:abstractNumId w:val="30"/>
  </w:num>
  <w:num w:numId="83">
    <w:abstractNumId w:val="0"/>
  </w:num>
  <w:num w:numId="84">
    <w:abstractNumId w:val="60"/>
  </w:num>
  <w:num w:numId="85">
    <w:abstractNumId w:val="83"/>
  </w:num>
  <w:num w:numId="86">
    <w:abstractNumId w:val="10"/>
  </w:num>
  <w:num w:numId="87">
    <w:abstractNumId w:val="2"/>
  </w:num>
  <w:num w:numId="88">
    <w:abstractNumId w:val="78"/>
  </w:num>
  <w:num w:numId="89">
    <w:abstractNumId w:val="36"/>
  </w:num>
  <w:num w:numId="90">
    <w:abstractNumId w:val="3"/>
  </w:num>
  <w:num w:numId="91">
    <w:abstractNumId w:val="35"/>
  </w:num>
  <w:num w:numId="92">
    <w:abstractNumId w:val="76"/>
  </w:num>
  <w:num w:numId="93">
    <w:abstractNumId w:val="9"/>
  </w:num>
  <w:num w:numId="94">
    <w:abstractNumId w:val="39"/>
  </w:num>
  <w:num w:numId="95">
    <w:abstractNumId w:val="11"/>
  </w:num>
  <w:num w:numId="96">
    <w:abstractNumId w:val="21"/>
  </w:num>
  <w:num w:numId="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mirrorMargins w:val="1"/>
  <w:bordersDoNotSurroundHeader w:val="1"/>
  <w:bordersDoNotSurroundFooter w:val="1"/>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3BB"/>
    <w:rsid w:val="00000487"/>
    <w:rsid w:val="0000078C"/>
    <w:rsid w:val="00000DAB"/>
    <w:rsid w:val="00004643"/>
    <w:rsid w:val="00010F33"/>
    <w:rsid w:val="00014098"/>
    <w:rsid w:val="000159A4"/>
    <w:rsid w:val="00017895"/>
    <w:rsid w:val="00022520"/>
    <w:rsid w:val="000227D8"/>
    <w:rsid w:val="00022C21"/>
    <w:rsid w:val="00023E57"/>
    <w:rsid w:val="00024CEE"/>
    <w:rsid w:val="00025498"/>
    <w:rsid w:val="00027A3F"/>
    <w:rsid w:val="0003066B"/>
    <w:rsid w:val="000309CF"/>
    <w:rsid w:val="00031F76"/>
    <w:rsid w:val="000344CA"/>
    <w:rsid w:val="00035B96"/>
    <w:rsid w:val="00036B42"/>
    <w:rsid w:val="000406BB"/>
    <w:rsid w:val="00040B30"/>
    <w:rsid w:val="00041237"/>
    <w:rsid w:val="00042C00"/>
    <w:rsid w:val="000441B2"/>
    <w:rsid w:val="0004484E"/>
    <w:rsid w:val="00044FAE"/>
    <w:rsid w:val="00045C88"/>
    <w:rsid w:val="00050C58"/>
    <w:rsid w:val="000517DF"/>
    <w:rsid w:val="0005245F"/>
    <w:rsid w:val="000530B2"/>
    <w:rsid w:val="00056CCA"/>
    <w:rsid w:val="000571CE"/>
    <w:rsid w:val="000612C6"/>
    <w:rsid w:val="00061BD0"/>
    <w:rsid w:val="00061D28"/>
    <w:rsid w:val="00062364"/>
    <w:rsid w:val="00065286"/>
    <w:rsid w:val="00065CFA"/>
    <w:rsid w:val="0006652E"/>
    <w:rsid w:val="00067BA5"/>
    <w:rsid w:val="00070A6A"/>
    <w:rsid w:val="0007393A"/>
    <w:rsid w:val="000746F2"/>
    <w:rsid w:val="0007669F"/>
    <w:rsid w:val="00077944"/>
    <w:rsid w:val="00080A89"/>
    <w:rsid w:val="0008168D"/>
    <w:rsid w:val="00083642"/>
    <w:rsid w:val="000858BB"/>
    <w:rsid w:val="00086453"/>
    <w:rsid w:val="000871CE"/>
    <w:rsid w:val="00087258"/>
    <w:rsid w:val="00087D71"/>
    <w:rsid w:val="00090AC9"/>
    <w:rsid w:val="00091797"/>
    <w:rsid w:val="000A0154"/>
    <w:rsid w:val="000A0F8D"/>
    <w:rsid w:val="000A1920"/>
    <w:rsid w:val="000A4FE8"/>
    <w:rsid w:val="000A6AC7"/>
    <w:rsid w:val="000A6AFC"/>
    <w:rsid w:val="000A6F81"/>
    <w:rsid w:val="000A7689"/>
    <w:rsid w:val="000A7C64"/>
    <w:rsid w:val="000B14B6"/>
    <w:rsid w:val="000B22E6"/>
    <w:rsid w:val="000B2FC0"/>
    <w:rsid w:val="000B338A"/>
    <w:rsid w:val="000B3937"/>
    <w:rsid w:val="000B5579"/>
    <w:rsid w:val="000B6895"/>
    <w:rsid w:val="000C1273"/>
    <w:rsid w:val="000C1E61"/>
    <w:rsid w:val="000C23D2"/>
    <w:rsid w:val="000C2E0D"/>
    <w:rsid w:val="000C4EA1"/>
    <w:rsid w:val="000C4F8D"/>
    <w:rsid w:val="000C5493"/>
    <w:rsid w:val="000C599E"/>
    <w:rsid w:val="000C6C23"/>
    <w:rsid w:val="000C7338"/>
    <w:rsid w:val="000C7669"/>
    <w:rsid w:val="000D120D"/>
    <w:rsid w:val="000D5A01"/>
    <w:rsid w:val="000D71D8"/>
    <w:rsid w:val="000D7CB3"/>
    <w:rsid w:val="000E058A"/>
    <w:rsid w:val="000E0837"/>
    <w:rsid w:val="000E1CBD"/>
    <w:rsid w:val="000E50F5"/>
    <w:rsid w:val="000E5982"/>
    <w:rsid w:val="000E68F9"/>
    <w:rsid w:val="000F0B41"/>
    <w:rsid w:val="000F1072"/>
    <w:rsid w:val="000F216F"/>
    <w:rsid w:val="000F38BB"/>
    <w:rsid w:val="000F6858"/>
    <w:rsid w:val="000F6A47"/>
    <w:rsid w:val="000F6B8F"/>
    <w:rsid w:val="000F742D"/>
    <w:rsid w:val="0010142A"/>
    <w:rsid w:val="00102F3F"/>
    <w:rsid w:val="0010349C"/>
    <w:rsid w:val="001048DC"/>
    <w:rsid w:val="0010540B"/>
    <w:rsid w:val="001106C8"/>
    <w:rsid w:val="0011145C"/>
    <w:rsid w:val="001121B9"/>
    <w:rsid w:val="00113AB6"/>
    <w:rsid w:val="00113E01"/>
    <w:rsid w:val="001211EA"/>
    <w:rsid w:val="00121404"/>
    <w:rsid w:val="00122860"/>
    <w:rsid w:val="0012768F"/>
    <w:rsid w:val="00127A14"/>
    <w:rsid w:val="00127CC5"/>
    <w:rsid w:val="00130864"/>
    <w:rsid w:val="00132A9C"/>
    <w:rsid w:val="0013328C"/>
    <w:rsid w:val="00134A37"/>
    <w:rsid w:val="00135152"/>
    <w:rsid w:val="0013693F"/>
    <w:rsid w:val="00136E80"/>
    <w:rsid w:val="001378A5"/>
    <w:rsid w:val="00141847"/>
    <w:rsid w:val="00141E50"/>
    <w:rsid w:val="0014550F"/>
    <w:rsid w:val="00145F21"/>
    <w:rsid w:val="00146A0E"/>
    <w:rsid w:val="00152E1C"/>
    <w:rsid w:val="0015345E"/>
    <w:rsid w:val="001537AC"/>
    <w:rsid w:val="001545AA"/>
    <w:rsid w:val="001570E0"/>
    <w:rsid w:val="00161B4B"/>
    <w:rsid w:val="00161B8F"/>
    <w:rsid w:val="001640CF"/>
    <w:rsid w:val="0016471E"/>
    <w:rsid w:val="001647FD"/>
    <w:rsid w:val="00174588"/>
    <w:rsid w:val="0017500C"/>
    <w:rsid w:val="0018212F"/>
    <w:rsid w:val="00182207"/>
    <w:rsid w:val="0018293E"/>
    <w:rsid w:val="00183BB1"/>
    <w:rsid w:val="001867AF"/>
    <w:rsid w:val="001912B8"/>
    <w:rsid w:val="0019149F"/>
    <w:rsid w:val="001949E3"/>
    <w:rsid w:val="001954C5"/>
    <w:rsid w:val="001966FA"/>
    <w:rsid w:val="00196DBE"/>
    <w:rsid w:val="001A0E1C"/>
    <w:rsid w:val="001A1A94"/>
    <w:rsid w:val="001A2304"/>
    <w:rsid w:val="001A28D6"/>
    <w:rsid w:val="001A7AC7"/>
    <w:rsid w:val="001A7B47"/>
    <w:rsid w:val="001B12A3"/>
    <w:rsid w:val="001B36E6"/>
    <w:rsid w:val="001B4982"/>
    <w:rsid w:val="001B56C2"/>
    <w:rsid w:val="001B7080"/>
    <w:rsid w:val="001B791D"/>
    <w:rsid w:val="001C0056"/>
    <w:rsid w:val="001C2295"/>
    <w:rsid w:val="001C2B4C"/>
    <w:rsid w:val="001C2F33"/>
    <w:rsid w:val="001C3549"/>
    <w:rsid w:val="001C37B7"/>
    <w:rsid w:val="001C7CD5"/>
    <w:rsid w:val="001D611B"/>
    <w:rsid w:val="001E08D4"/>
    <w:rsid w:val="001E0961"/>
    <w:rsid w:val="001E0FA1"/>
    <w:rsid w:val="001E464A"/>
    <w:rsid w:val="001E5B3A"/>
    <w:rsid w:val="001E62F4"/>
    <w:rsid w:val="001E7CCF"/>
    <w:rsid w:val="001F00A8"/>
    <w:rsid w:val="001F0564"/>
    <w:rsid w:val="001F29B9"/>
    <w:rsid w:val="001F312B"/>
    <w:rsid w:val="001F5563"/>
    <w:rsid w:val="002004DD"/>
    <w:rsid w:val="00200911"/>
    <w:rsid w:val="00202A1E"/>
    <w:rsid w:val="00205E61"/>
    <w:rsid w:val="00206B59"/>
    <w:rsid w:val="00206D52"/>
    <w:rsid w:val="002076C6"/>
    <w:rsid w:val="00207755"/>
    <w:rsid w:val="00207C24"/>
    <w:rsid w:val="002107D7"/>
    <w:rsid w:val="00211356"/>
    <w:rsid w:val="002116F3"/>
    <w:rsid w:val="00211A3D"/>
    <w:rsid w:val="00211E92"/>
    <w:rsid w:val="00211EE9"/>
    <w:rsid w:val="0021581A"/>
    <w:rsid w:val="00215B17"/>
    <w:rsid w:val="002236E6"/>
    <w:rsid w:val="00223735"/>
    <w:rsid w:val="00223C3E"/>
    <w:rsid w:val="00224C67"/>
    <w:rsid w:val="00225466"/>
    <w:rsid w:val="00225D74"/>
    <w:rsid w:val="00226382"/>
    <w:rsid w:val="0022714D"/>
    <w:rsid w:val="00227188"/>
    <w:rsid w:val="00227DC4"/>
    <w:rsid w:val="00231D04"/>
    <w:rsid w:val="00232104"/>
    <w:rsid w:val="00232A53"/>
    <w:rsid w:val="0023324F"/>
    <w:rsid w:val="00236371"/>
    <w:rsid w:val="00237043"/>
    <w:rsid w:val="00237B99"/>
    <w:rsid w:val="00237E0A"/>
    <w:rsid w:val="002405E7"/>
    <w:rsid w:val="00242116"/>
    <w:rsid w:val="0024281A"/>
    <w:rsid w:val="00243E22"/>
    <w:rsid w:val="00243F88"/>
    <w:rsid w:val="00244911"/>
    <w:rsid w:val="00244AAB"/>
    <w:rsid w:val="00247A01"/>
    <w:rsid w:val="00250210"/>
    <w:rsid w:val="00251A8F"/>
    <w:rsid w:val="00251CE6"/>
    <w:rsid w:val="0025231C"/>
    <w:rsid w:val="0025305F"/>
    <w:rsid w:val="002545E5"/>
    <w:rsid w:val="002545ED"/>
    <w:rsid w:val="0025545F"/>
    <w:rsid w:val="00256EF3"/>
    <w:rsid w:val="002574F7"/>
    <w:rsid w:val="00266212"/>
    <w:rsid w:val="002705D4"/>
    <w:rsid w:val="00270644"/>
    <w:rsid w:val="00271918"/>
    <w:rsid w:val="0027268D"/>
    <w:rsid w:val="00274D32"/>
    <w:rsid w:val="00275AF4"/>
    <w:rsid w:val="00275E70"/>
    <w:rsid w:val="002822F1"/>
    <w:rsid w:val="00282B9F"/>
    <w:rsid w:val="00284455"/>
    <w:rsid w:val="002848B0"/>
    <w:rsid w:val="0028594D"/>
    <w:rsid w:val="00286095"/>
    <w:rsid w:val="00287252"/>
    <w:rsid w:val="00291094"/>
    <w:rsid w:val="00293607"/>
    <w:rsid w:val="002941DB"/>
    <w:rsid w:val="002956D4"/>
    <w:rsid w:val="00295AC7"/>
    <w:rsid w:val="002971AA"/>
    <w:rsid w:val="00297416"/>
    <w:rsid w:val="00297A89"/>
    <w:rsid w:val="002A12A5"/>
    <w:rsid w:val="002A1EE8"/>
    <w:rsid w:val="002A22D2"/>
    <w:rsid w:val="002B01D1"/>
    <w:rsid w:val="002B1C93"/>
    <w:rsid w:val="002B35ED"/>
    <w:rsid w:val="002B5D29"/>
    <w:rsid w:val="002B61EA"/>
    <w:rsid w:val="002B6B82"/>
    <w:rsid w:val="002C0638"/>
    <w:rsid w:val="002C29CF"/>
    <w:rsid w:val="002C314F"/>
    <w:rsid w:val="002C590C"/>
    <w:rsid w:val="002D1877"/>
    <w:rsid w:val="002D1E41"/>
    <w:rsid w:val="002D2905"/>
    <w:rsid w:val="002D300B"/>
    <w:rsid w:val="002D5426"/>
    <w:rsid w:val="002D5C0F"/>
    <w:rsid w:val="002D67D6"/>
    <w:rsid w:val="002D68D9"/>
    <w:rsid w:val="002E10A4"/>
    <w:rsid w:val="002E10EE"/>
    <w:rsid w:val="002E38A5"/>
    <w:rsid w:val="002E460B"/>
    <w:rsid w:val="002E55B5"/>
    <w:rsid w:val="002E615C"/>
    <w:rsid w:val="002E7292"/>
    <w:rsid w:val="002E7C4C"/>
    <w:rsid w:val="002F0C17"/>
    <w:rsid w:val="002F1AAD"/>
    <w:rsid w:val="002F4C41"/>
    <w:rsid w:val="002F4D42"/>
    <w:rsid w:val="002F5B6C"/>
    <w:rsid w:val="002F6CF0"/>
    <w:rsid w:val="002F7898"/>
    <w:rsid w:val="00301499"/>
    <w:rsid w:val="00301A65"/>
    <w:rsid w:val="003029E5"/>
    <w:rsid w:val="00303985"/>
    <w:rsid w:val="00303C12"/>
    <w:rsid w:val="00303E73"/>
    <w:rsid w:val="0030578C"/>
    <w:rsid w:val="00305A7E"/>
    <w:rsid w:val="00306856"/>
    <w:rsid w:val="003071FD"/>
    <w:rsid w:val="0031345B"/>
    <w:rsid w:val="00313B0E"/>
    <w:rsid w:val="00314F31"/>
    <w:rsid w:val="00315105"/>
    <w:rsid w:val="00316113"/>
    <w:rsid w:val="00317FB4"/>
    <w:rsid w:val="0032006F"/>
    <w:rsid w:val="0032111E"/>
    <w:rsid w:val="00321A5F"/>
    <w:rsid w:val="003322B8"/>
    <w:rsid w:val="003323D6"/>
    <w:rsid w:val="00333EF9"/>
    <w:rsid w:val="00334215"/>
    <w:rsid w:val="00334E41"/>
    <w:rsid w:val="00335439"/>
    <w:rsid w:val="00336F5A"/>
    <w:rsid w:val="00337A45"/>
    <w:rsid w:val="00340C1F"/>
    <w:rsid w:val="00341998"/>
    <w:rsid w:val="0034321B"/>
    <w:rsid w:val="00346878"/>
    <w:rsid w:val="0035060E"/>
    <w:rsid w:val="00350E14"/>
    <w:rsid w:val="00354B77"/>
    <w:rsid w:val="00354BA7"/>
    <w:rsid w:val="003550C3"/>
    <w:rsid w:val="003551FA"/>
    <w:rsid w:val="00356937"/>
    <w:rsid w:val="00357C3B"/>
    <w:rsid w:val="00361061"/>
    <w:rsid w:val="003610AE"/>
    <w:rsid w:val="00364262"/>
    <w:rsid w:val="00364647"/>
    <w:rsid w:val="00365D27"/>
    <w:rsid w:val="003661F3"/>
    <w:rsid w:val="00370437"/>
    <w:rsid w:val="00370E56"/>
    <w:rsid w:val="00371BDE"/>
    <w:rsid w:val="00372220"/>
    <w:rsid w:val="0037360A"/>
    <w:rsid w:val="00377F07"/>
    <w:rsid w:val="00380996"/>
    <w:rsid w:val="00380A5A"/>
    <w:rsid w:val="00380C1E"/>
    <w:rsid w:val="00382387"/>
    <w:rsid w:val="00382EB6"/>
    <w:rsid w:val="00383E25"/>
    <w:rsid w:val="003858C2"/>
    <w:rsid w:val="00385901"/>
    <w:rsid w:val="00385B6A"/>
    <w:rsid w:val="00385EDC"/>
    <w:rsid w:val="00386597"/>
    <w:rsid w:val="00386BE0"/>
    <w:rsid w:val="003912BD"/>
    <w:rsid w:val="003934D2"/>
    <w:rsid w:val="00393888"/>
    <w:rsid w:val="00396343"/>
    <w:rsid w:val="00396C47"/>
    <w:rsid w:val="0039744A"/>
    <w:rsid w:val="003A13C5"/>
    <w:rsid w:val="003A48E0"/>
    <w:rsid w:val="003A71E0"/>
    <w:rsid w:val="003A7205"/>
    <w:rsid w:val="003B09FE"/>
    <w:rsid w:val="003B1994"/>
    <w:rsid w:val="003B2CFD"/>
    <w:rsid w:val="003B7BFB"/>
    <w:rsid w:val="003C0892"/>
    <w:rsid w:val="003C1FC4"/>
    <w:rsid w:val="003C31BA"/>
    <w:rsid w:val="003C3268"/>
    <w:rsid w:val="003C387F"/>
    <w:rsid w:val="003C51BC"/>
    <w:rsid w:val="003C66B2"/>
    <w:rsid w:val="003D1860"/>
    <w:rsid w:val="003D2F73"/>
    <w:rsid w:val="003D3738"/>
    <w:rsid w:val="003D40AA"/>
    <w:rsid w:val="003D7203"/>
    <w:rsid w:val="003D7559"/>
    <w:rsid w:val="003E0044"/>
    <w:rsid w:val="003E3B11"/>
    <w:rsid w:val="003E4828"/>
    <w:rsid w:val="003E56DB"/>
    <w:rsid w:val="003E5897"/>
    <w:rsid w:val="003F04B1"/>
    <w:rsid w:val="003F2993"/>
    <w:rsid w:val="003F3270"/>
    <w:rsid w:val="003F491C"/>
    <w:rsid w:val="003F5DAF"/>
    <w:rsid w:val="003F5E6E"/>
    <w:rsid w:val="003F5F8B"/>
    <w:rsid w:val="003F62B9"/>
    <w:rsid w:val="003F72C2"/>
    <w:rsid w:val="003F792B"/>
    <w:rsid w:val="003F7F7A"/>
    <w:rsid w:val="00400A51"/>
    <w:rsid w:val="004016D2"/>
    <w:rsid w:val="00401D23"/>
    <w:rsid w:val="00402C97"/>
    <w:rsid w:val="00404467"/>
    <w:rsid w:val="0040485B"/>
    <w:rsid w:val="0040639F"/>
    <w:rsid w:val="004070C4"/>
    <w:rsid w:val="00411669"/>
    <w:rsid w:val="0041173E"/>
    <w:rsid w:val="004124BE"/>
    <w:rsid w:val="00415BA4"/>
    <w:rsid w:val="004171C8"/>
    <w:rsid w:val="0041735D"/>
    <w:rsid w:val="004201EE"/>
    <w:rsid w:val="00420AEE"/>
    <w:rsid w:val="00423CFD"/>
    <w:rsid w:val="0042465B"/>
    <w:rsid w:val="00425F58"/>
    <w:rsid w:val="00430287"/>
    <w:rsid w:val="0043099E"/>
    <w:rsid w:val="00431F28"/>
    <w:rsid w:val="00437C0A"/>
    <w:rsid w:val="004409DE"/>
    <w:rsid w:val="00441F32"/>
    <w:rsid w:val="004421A3"/>
    <w:rsid w:val="004422F3"/>
    <w:rsid w:val="00443403"/>
    <w:rsid w:val="00443D37"/>
    <w:rsid w:val="00445E29"/>
    <w:rsid w:val="00446AD6"/>
    <w:rsid w:val="004473DB"/>
    <w:rsid w:val="00447523"/>
    <w:rsid w:val="004509B1"/>
    <w:rsid w:val="00450B82"/>
    <w:rsid w:val="00452A7A"/>
    <w:rsid w:val="004530D2"/>
    <w:rsid w:val="004542D0"/>
    <w:rsid w:val="00454DFA"/>
    <w:rsid w:val="004553BE"/>
    <w:rsid w:val="00457300"/>
    <w:rsid w:val="004623BB"/>
    <w:rsid w:val="004626B3"/>
    <w:rsid w:val="00464022"/>
    <w:rsid w:val="004646F0"/>
    <w:rsid w:val="00465093"/>
    <w:rsid w:val="00465B37"/>
    <w:rsid w:val="00466CB5"/>
    <w:rsid w:val="00467605"/>
    <w:rsid w:val="00467D1D"/>
    <w:rsid w:val="00470036"/>
    <w:rsid w:val="00470B7D"/>
    <w:rsid w:val="004721A9"/>
    <w:rsid w:val="00472AC8"/>
    <w:rsid w:val="00473155"/>
    <w:rsid w:val="00474A23"/>
    <w:rsid w:val="004753A5"/>
    <w:rsid w:val="004777EF"/>
    <w:rsid w:val="00481425"/>
    <w:rsid w:val="0048297D"/>
    <w:rsid w:val="004842B4"/>
    <w:rsid w:val="004854E9"/>
    <w:rsid w:val="00486845"/>
    <w:rsid w:val="0048684C"/>
    <w:rsid w:val="00490B13"/>
    <w:rsid w:val="00490C03"/>
    <w:rsid w:val="0049228E"/>
    <w:rsid w:val="00492387"/>
    <w:rsid w:val="00493424"/>
    <w:rsid w:val="0049505E"/>
    <w:rsid w:val="004A00CD"/>
    <w:rsid w:val="004A1C40"/>
    <w:rsid w:val="004A446D"/>
    <w:rsid w:val="004A5C41"/>
    <w:rsid w:val="004A5C98"/>
    <w:rsid w:val="004B02F8"/>
    <w:rsid w:val="004B14F4"/>
    <w:rsid w:val="004B1BF0"/>
    <w:rsid w:val="004B2ECE"/>
    <w:rsid w:val="004B392E"/>
    <w:rsid w:val="004B3D3C"/>
    <w:rsid w:val="004B5491"/>
    <w:rsid w:val="004C6BE7"/>
    <w:rsid w:val="004D0A13"/>
    <w:rsid w:val="004D2C20"/>
    <w:rsid w:val="004D2CA0"/>
    <w:rsid w:val="004D499B"/>
    <w:rsid w:val="004D6A6D"/>
    <w:rsid w:val="004D75A9"/>
    <w:rsid w:val="004D7C48"/>
    <w:rsid w:val="004D7E8C"/>
    <w:rsid w:val="004E0F16"/>
    <w:rsid w:val="004E15B0"/>
    <w:rsid w:val="004E6657"/>
    <w:rsid w:val="004E6FE7"/>
    <w:rsid w:val="004F08B7"/>
    <w:rsid w:val="004F08E0"/>
    <w:rsid w:val="004F1FD1"/>
    <w:rsid w:val="004F2067"/>
    <w:rsid w:val="004F2166"/>
    <w:rsid w:val="004F27A6"/>
    <w:rsid w:val="004F3F0E"/>
    <w:rsid w:val="004F5CB9"/>
    <w:rsid w:val="004F7475"/>
    <w:rsid w:val="00503A2E"/>
    <w:rsid w:val="0050439F"/>
    <w:rsid w:val="00504434"/>
    <w:rsid w:val="005049A6"/>
    <w:rsid w:val="005050EA"/>
    <w:rsid w:val="00507708"/>
    <w:rsid w:val="00515EAB"/>
    <w:rsid w:val="005164D5"/>
    <w:rsid w:val="00522466"/>
    <w:rsid w:val="00522DA1"/>
    <w:rsid w:val="00522EF0"/>
    <w:rsid w:val="00524244"/>
    <w:rsid w:val="00525D2C"/>
    <w:rsid w:val="00533CCB"/>
    <w:rsid w:val="00533DB1"/>
    <w:rsid w:val="00537156"/>
    <w:rsid w:val="00540A2A"/>
    <w:rsid w:val="00541C73"/>
    <w:rsid w:val="00542027"/>
    <w:rsid w:val="00542C5A"/>
    <w:rsid w:val="005437DF"/>
    <w:rsid w:val="00543A48"/>
    <w:rsid w:val="00545D1C"/>
    <w:rsid w:val="00546654"/>
    <w:rsid w:val="005476D7"/>
    <w:rsid w:val="00550F93"/>
    <w:rsid w:val="00550FA0"/>
    <w:rsid w:val="00555242"/>
    <w:rsid w:val="00557228"/>
    <w:rsid w:val="0055743B"/>
    <w:rsid w:val="00557D4A"/>
    <w:rsid w:val="0056070F"/>
    <w:rsid w:val="00563157"/>
    <w:rsid w:val="00563554"/>
    <w:rsid w:val="00563BFF"/>
    <w:rsid w:val="00564E5D"/>
    <w:rsid w:val="00565611"/>
    <w:rsid w:val="005661F1"/>
    <w:rsid w:val="00566558"/>
    <w:rsid w:val="00566DB6"/>
    <w:rsid w:val="005705F8"/>
    <w:rsid w:val="00572081"/>
    <w:rsid w:val="0057230D"/>
    <w:rsid w:val="00573EC5"/>
    <w:rsid w:val="00575734"/>
    <w:rsid w:val="00576265"/>
    <w:rsid w:val="00577FFA"/>
    <w:rsid w:val="005815C4"/>
    <w:rsid w:val="005862B6"/>
    <w:rsid w:val="00590626"/>
    <w:rsid w:val="00591DAF"/>
    <w:rsid w:val="00591DBE"/>
    <w:rsid w:val="00593EED"/>
    <w:rsid w:val="00595A63"/>
    <w:rsid w:val="00596AE6"/>
    <w:rsid w:val="00596B18"/>
    <w:rsid w:val="00596B58"/>
    <w:rsid w:val="00597097"/>
    <w:rsid w:val="005973FD"/>
    <w:rsid w:val="005978A4"/>
    <w:rsid w:val="005A050F"/>
    <w:rsid w:val="005A0AC9"/>
    <w:rsid w:val="005A3CC9"/>
    <w:rsid w:val="005A4C3B"/>
    <w:rsid w:val="005A53E3"/>
    <w:rsid w:val="005A57C8"/>
    <w:rsid w:val="005A632D"/>
    <w:rsid w:val="005A63ED"/>
    <w:rsid w:val="005A7256"/>
    <w:rsid w:val="005A7C9B"/>
    <w:rsid w:val="005B2D88"/>
    <w:rsid w:val="005B3A03"/>
    <w:rsid w:val="005B4AD7"/>
    <w:rsid w:val="005B6094"/>
    <w:rsid w:val="005B65A0"/>
    <w:rsid w:val="005B6926"/>
    <w:rsid w:val="005B6AFB"/>
    <w:rsid w:val="005C10C7"/>
    <w:rsid w:val="005C39CB"/>
    <w:rsid w:val="005C5BD0"/>
    <w:rsid w:val="005C69CC"/>
    <w:rsid w:val="005C6F9E"/>
    <w:rsid w:val="005C74DE"/>
    <w:rsid w:val="005D0891"/>
    <w:rsid w:val="005D1495"/>
    <w:rsid w:val="005D1904"/>
    <w:rsid w:val="005D38C4"/>
    <w:rsid w:val="005D4397"/>
    <w:rsid w:val="005D4FEB"/>
    <w:rsid w:val="005D59BD"/>
    <w:rsid w:val="005D7051"/>
    <w:rsid w:val="005D73CF"/>
    <w:rsid w:val="005E0259"/>
    <w:rsid w:val="005E1A1F"/>
    <w:rsid w:val="005E24E7"/>
    <w:rsid w:val="005E2835"/>
    <w:rsid w:val="005E3D40"/>
    <w:rsid w:val="005E5B4E"/>
    <w:rsid w:val="005E6511"/>
    <w:rsid w:val="005E75E0"/>
    <w:rsid w:val="005F286B"/>
    <w:rsid w:val="005F4239"/>
    <w:rsid w:val="005F586E"/>
    <w:rsid w:val="005F5BA7"/>
    <w:rsid w:val="005F60B8"/>
    <w:rsid w:val="0060060E"/>
    <w:rsid w:val="00602529"/>
    <w:rsid w:val="006039EB"/>
    <w:rsid w:val="006044CC"/>
    <w:rsid w:val="00604C3C"/>
    <w:rsid w:val="0060748E"/>
    <w:rsid w:val="00607A26"/>
    <w:rsid w:val="00610E25"/>
    <w:rsid w:val="00610F1D"/>
    <w:rsid w:val="006147E0"/>
    <w:rsid w:val="00616B85"/>
    <w:rsid w:val="00617F7B"/>
    <w:rsid w:val="0062175D"/>
    <w:rsid w:val="0062319D"/>
    <w:rsid w:val="00623932"/>
    <w:rsid w:val="0062478B"/>
    <w:rsid w:val="00626C4B"/>
    <w:rsid w:val="00627CD6"/>
    <w:rsid w:val="00632EA8"/>
    <w:rsid w:val="006336CA"/>
    <w:rsid w:val="006337DE"/>
    <w:rsid w:val="006339BE"/>
    <w:rsid w:val="00633A31"/>
    <w:rsid w:val="00636BE9"/>
    <w:rsid w:val="00637BB3"/>
    <w:rsid w:val="006408FE"/>
    <w:rsid w:val="00641014"/>
    <w:rsid w:val="00641524"/>
    <w:rsid w:val="00642820"/>
    <w:rsid w:val="00642C96"/>
    <w:rsid w:val="00642DA2"/>
    <w:rsid w:val="00643C39"/>
    <w:rsid w:val="00646F56"/>
    <w:rsid w:val="006478A5"/>
    <w:rsid w:val="00654066"/>
    <w:rsid w:val="0065415E"/>
    <w:rsid w:val="0065468A"/>
    <w:rsid w:val="00654A1F"/>
    <w:rsid w:val="00655868"/>
    <w:rsid w:val="006650F2"/>
    <w:rsid w:val="00665B93"/>
    <w:rsid w:val="00666E9C"/>
    <w:rsid w:val="00673F47"/>
    <w:rsid w:val="0067444B"/>
    <w:rsid w:val="00675DC6"/>
    <w:rsid w:val="00675E21"/>
    <w:rsid w:val="00675F51"/>
    <w:rsid w:val="00676C04"/>
    <w:rsid w:val="00677033"/>
    <w:rsid w:val="00677A1D"/>
    <w:rsid w:val="00682611"/>
    <w:rsid w:val="0068264D"/>
    <w:rsid w:val="006834CF"/>
    <w:rsid w:val="006854DB"/>
    <w:rsid w:val="00686BAC"/>
    <w:rsid w:val="006900B2"/>
    <w:rsid w:val="00691067"/>
    <w:rsid w:val="0069243A"/>
    <w:rsid w:val="006953F8"/>
    <w:rsid w:val="006A282F"/>
    <w:rsid w:val="006A364A"/>
    <w:rsid w:val="006A391E"/>
    <w:rsid w:val="006A5A1E"/>
    <w:rsid w:val="006A6350"/>
    <w:rsid w:val="006B2216"/>
    <w:rsid w:val="006B274C"/>
    <w:rsid w:val="006B28F1"/>
    <w:rsid w:val="006B4AD1"/>
    <w:rsid w:val="006B5DC8"/>
    <w:rsid w:val="006B6C08"/>
    <w:rsid w:val="006B6E19"/>
    <w:rsid w:val="006B7647"/>
    <w:rsid w:val="006B79EA"/>
    <w:rsid w:val="006C2BC6"/>
    <w:rsid w:val="006C2D2A"/>
    <w:rsid w:val="006C30FC"/>
    <w:rsid w:val="006C55A6"/>
    <w:rsid w:val="006C5FB7"/>
    <w:rsid w:val="006C6AC7"/>
    <w:rsid w:val="006C74BA"/>
    <w:rsid w:val="006D0969"/>
    <w:rsid w:val="006D0EF2"/>
    <w:rsid w:val="006D2279"/>
    <w:rsid w:val="006D3579"/>
    <w:rsid w:val="006D601F"/>
    <w:rsid w:val="006D71C5"/>
    <w:rsid w:val="006D742F"/>
    <w:rsid w:val="006D7D4E"/>
    <w:rsid w:val="006E069E"/>
    <w:rsid w:val="006E0F6F"/>
    <w:rsid w:val="006E235E"/>
    <w:rsid w:val="006E2A9A"/>
    <w:rsid w:val="006E477F"/>
    <w:rsid w:val="006E5416"/>
    <w:rsid w:val="006E62F8"/>
    <w:rsid w:val="006F0306"/>
    <w:rsid w:val="006F1CAA"/>
    <w:rsid w:val="006F31E7"/>
    <w:rsid w:val="00701398"/>
    <w:rsid w:val="00704252"/>
    <w:rsid w:val="00705D3C"/>
    <w:rsid w:val="0070741E"/>
    <w:rsid w:val="00711008"/>
    <w:rsid w:val="0071269A"/>
    <w:rsid w:val="00713483"/>
    <w:rsid w:val="00714C00"/>
    <w:rsid w:val="00715093"/>
    <w:rsid w:val="007150E5"/>
    <w:rsid w:val="007229CC"/>
    <w:rsid w:val="00723332"/>
    <w:rsid w:val="007235C1"/>
    <w:rsid w:val="00726803"/>
    <w:rsid w:val="00727E16"/>
    <w:rsid w:val="00730D62"/>
    <w:rsid w:val="00734993"/>
    <w:rsid w:val="00735748"/>
    <w:rsid w:val="007360D3"/>
    <w:rsid w:val="00736DD4"/>
    <w:rsid w:val="0074180F"/>
    <w:rsid w:val="0074336A"/>
    <w:rsid w:val="00743768"/>
    <w:rsid w:val="007448A0"/>
    <w:rsid w:val="00745083"/>
    <w:rsid w:val="007461E9"/>
    <w:rsid w:val="007470CC"/>
    <w:rsid w:val="0074778A"/>
    <w:rsid w:val="00751B82"/>
    <w:rsid w:val="007539BF"/>
    <w:rsid w:val="00756882"/>
    <w:rsid w:val="00760751"/>
    <w:rsid w:val="007607D0"/>
    <w:rsid w:val="0076307C"/>
    <w:rsid w:val="00764E97"/>
    <w:rsid w:val="00764F35"/>
    <w:rsid w:val="007664ED"/>
    <w:rsid w:val="00770CF6"/>
    <w:rsid w:val="0077230F"/>
    <w:rsid w:val="00773710"/>
    <w:rsid w:val="0077799A"/>
    <w:rsid w:val="00781CAF"/>
    <w:rsid w:val="0078223F"/>
    <w:rsid w:val="00783257"/>
    <w:rsid w:val="00783279"/>
    <w:rsid w:val="00785564"/>
    <w:rsid w:val="00790542"/>
    <w:rsid w:val="00790CDA"/>
    <w:rsid w:val="00791007"/>
    <w:rsid w:val="00791ADE"/>
    <w:rsid w:val="00792046"/>
    <w:rsid w:val="00792AFA"/>
    <w:rsid w:val="00796555"/>
    <w:rsid w:val="007A3C05"/>
    <w:rsid w:val="007A3D5F"/>
    <w:rsid w:val="007A47C0"/>
    <w:rsid w:val="007A5176"/>
    <w:rsid w:val="007A54EC"/>
    <w:rsid w:val="007A65AB"/>
    <w:rsid w:val="007A6BB8"/>
    <w:rsid w:val="007B0360"/>
    <w:rsid w:val="007B0B0A"/>
    <w:rsid w:val="007B16E1"/>
    <w:rsid w:val="007B356D"/>
    <w:rsid w:val="007B38BE"/>
    <w:rsid w:val="007B6424"/>
    <w:rsid w:val="007B74EF"/>
    <w:rsid w:val="007C2002"/>
    <w:rsid w:val="007C25B9"/>
    <w:rsid w:val="007C2D22"/>
    <w:rsid w:val="007C444B"/>
    <w:rsid w:val="007C5E95"/>
    <w:rsid w:val="007C60E7"/>
    <w:rsid w:val="007C6D12"/>
    <w:rsid w:val="007C6EE3"/>
    <w:rsid w:val="007C6F2E"/>
    <w:rsid w:val="007C6FF0"/>
    <w:rsid w:val="007D1A80"/>
    <w:rsid w:val="007D3BD2"/>
    <w:rsid w:val="007D475C"/>
    <w:rsid w:val="007D4C49"/>
    <w:rsid w:val="007E1E9A"/>
    <w:rsid w:val="007E2E6C"/>
    <w:rsid w:val="007E5EE6"/>
    <w:rsid w:val="007E7289"/>
    <w:rsid w:val="007E79F5"/>
    <w:rsid w:val="007F0156"/>
    <w:rsid w:val="007F3E63"/>
    <w:rsid w:val="007F5795"/>
    <w:rsid w:val="007F5ACF"/>
    <w:rsid w:val="007F7B4E"/>
    <w:rsid w:val="00800C09"/>
    <w:rsid w:val="008026F9"/>
    <w:rsid w:val="00802F1D"/>
    <w:rsid w:val="008074A0"/>
    <w:rsid w:val="00807C60"/>
    <w:rsid w:val="00810564"/>
    <w:rsid w:val="00811447"/>
    <w:rsid w:val="00813B20"/>
    <w:rsid w:val="00815A01"/>
    <w:rsid w:val="00815B5B"/>
    <w:rsid w:val="00816A95"/>
    <w:rsid w:val="00817164"/>
    <w:rsid w:val="00820AE7"/>
    <w:rsid w:val="00821ACE"/>
    <w:rsid w:val="00825EAF"/>
    <w:rsid w:val="00827E90"/>
    <w:rsid w:val="0083330F"/>
    <w:rsid w:val="0083337A"/>
    <w:rsid w:val="00836893"/>
    <w:rsid w:val="00836A62"/>
    <w:rsid w:val="00841A28"/>
    <w:rsid w:val="008428FE"/>
    <w:rsid w:val="00850F2C"/>
    <w:rsid w:val="00851B49"/>
    <w:rsid w:val="00856616"/>
    <w:rsid w:val="00857410"/>
    <w:rsid w:val="008574AD"/>
    <w:rsid w:val="008579EC"/>
    <w:rsid w:val="00860C6F"/>
    <w:rsid w:val="008612E9"/>
    <w:rsid w:val="0086361A"/>
    <w:rsid w:val="00863C7B"/>
    <w:rsid w:val="0086548B"/>
    <w:rsid w:val="008658AB"/>
    <w:rsid w:val="008668C3"/>
    <w:rsid w:val="0086790B"/>
    <w:rsid w:val="00870B66"/>
    <w:rsid w:val="008715D5"/>
    <w:rsid w:val="00871E38"/>
    <w:rsid w:val="00877A93"/>
    <w:rsid w:val="00880924"/>
    <w:rsid w:val="008841EB"/>
    <w:rsid w:val="008844F2"/>
    <w:rsid w:val="0088586E"/>
    <w:rsid w:val="00891534"/>
    <w:rsid w:val="00891C5E"/>
    <w:rsid w:val="00892B3A"/>
    <w:rsid w:val="008939A4"/>
    <w:rsid w:val="0089441A"/>
    <w:rsid w:val="00894CA2"/>
    <w:rsid w:val="00894E04"/>
    <w:rsid w:val="00895F38"/>
    <w:rsid w:val="00895FC8"/>
    <w:rsid w:val="00896CDE"/>
    <w:rsid w:val="008A10CE"/>
    <w:rsid w:val="008A49AE"/>
    <w:rsid w:val="008A4C34"/>
    <w:rsid w:val="008A5765"/>
    <w:rsid w:val="008A6F8D"/>
    <w:rsid w:val="008B4063"/>
    <w:rsid w:val="008B529A"/>
    <w:rsid w:val="008C0EBE"/>
    <w:rsid w:val="008C28D9"/>
    <w:rsid w:val="008C2B68"/>
    <w:rsid w:val="008C4351"/>
    <w:rsid w:val="008C48B0"/>
    <w:rsid w:val="008C6AB4"/>
    <w:rsid w:val="008C7D62"/>
    <w:rsid w:val="008D03AB"/>
    <w:rsid w:val="008D0FA7"/>
    <w:rsid w:val="008D4FAA"/>
    <w:rsid w:val="008D6DBB"/>
    <w:rsid w:val="008E032F"/>
    <w:rsid w:val="008E2E2F"/>
    <w:rsid w:val="008E41AC"/>
    <w:rsid w:val="008E49B1"/>
    <w:rsid w:val="008E672D"/>
    <w:rsid w:val="008F0FA5"/>
    <w:rsid w:val="008F1244"/>
    <w:rsid w:val="008F199D"/>
    <w:rsid w:val="008F2F9D"/>
    <w:rsid w:val="008F37A9"/>
    <w:rsid w:val="008F3FEC"/>
    <w:rsid w:val="008F69C4"/>
    <w:rsid w:val="008F7107"/>
    <w:rsid w:val="0090126D"/>
    <w:rsid w:val="009018CE"/>
    <w:rsid w:val="00902FF0"/>
    <w:rsid w:val="00903C5E"/>
    <w:rsid w:val="0090473B"/>
    <w:rsid w:val="00907335"/>
    <w:rsid w:val="00914583"/>
    <w:rsid w:val="009177D1"/>
    <w:rsid w:val="009213D2"/>
    <w:rsid w:val="0092152C"/>
    <w:rsid w:val="00922CEF"/>
    <w:rsid w:val="00922DA9"/>
    <w:rsid w:val="00922F08"/>
    <w:rsid w:val="00924479"/>
    <w:rsid w:val="00925285"/>
    <w:rsid w:val="00925ACE"/>
    <w:rsid w:val="00931DCD"/>
    <w:rsid w:val="009325F6"/>
    <w:rsid w:val="00933A73"/>
    <w:rsid w:val="00933BEB"/>
    <w:rsid w:val="00933FED"/>
    <w:rsid w:val="009348E3"/>
    <w:rsid w:val="00937994"/>
    <w:rsid w:val="00940518"/>
    <w:rsid w:val="0094071A"/>
    <w:rsid w:val="00942ECD"/>
    <w:rsid w:val="009457DF"/>
    <w:rsid w:val="0094610B"/>
    <w:rsid w:val="0094623E"/>
    <w:rsid w:val="00946D35"/>
    <w:rsid w:val="0095014A"/>
    <w:rsid w:val="00952B09"/>
    <w:rsid w:val="00952BEC"/>
    <w:rsid w:val="00954C72"/>
    <w:rsid w:val="00955E09"/>
    <w:rsid w:val="00957FB2"/>
    <w:rsid w:val="00960296"/>
    <w:rsid w:val="00961185"/>
    <w:rsid w:val="00962D24"/>
    <w:rsid w:val="0096324E"/>
    <w:rsid w:val="00963871"/>
    <w:rsid w:val="00964604"/>
    <w:rsid w:val="00965746"/>
    <w:rsid w:val="009675DE"/>
    <w:rsid w:val="00972868"/>
    <w:rsid w:val="0097352F"/>
    <w:rsid w:val="00974D49"/>
    <w:rsid w:val="0097654D"/>
    <w:rsid w:val="00976F49"/>
    <w:rsid w:val="00977AEE"/>
    <w:rsid w:val="0098036A"/>
    <w:rsid w:val="009836AF"/>
    <w:rsid w:val="0098423C"/>
    <w:rsid w:val="00984B14"/>
    <w:rsid w:val="00984D88"/>
    <w:rsid w:val="00984F86"/>
    <w:rsid w:val="009857F4"/>
    <w:rsid w:val="009858FD"/>
    <w:rsid w:val="00986145"/>
    <w:rsid w:val="00986F1D"/>
    <w:rsid w:val="0098731D"/>
    <w:rsid w:val="00987D3E"/>
    <w:rsid w:val="00992250"/>
    <w:rsid w:val="00993152"/>
    <w:rsid w:val="0099391B"/>
    <w:rsid w:val="0099572E"/>
    <w:rsid w:val="009A14BD"/>
    <w:rsid w:val="009A3476"/>
    <w:rsid w:val="009B0767"/>
    <w:rsid w:val="009B0B20"/>
    <w:rsid w:val="009B1163"/>
    <w:rsid w:val="009B1442"/>
    <w:rsid w:val="009B1451"/>
    <w:rsid w:val="009B4BCC"/>
    <w:rsid w:val="009C0049"/>
    <w:rsid w:val="009C570A"/>
    <w:rsid w:val="009C5AE8"/>
    <w:rsid w:val="009D2310"/>
    <w:rsid w:val="009D2801"/>
    <w:rsid w:val="009D3A27"/>
    <w:rsid w:val="009D55C1"/>
    <w:rsid w:val="009D5A2B"/>
    <w:rsid w:val="009E2885"/>
    <w:rsid w:val="009E4A32"/>
    <w:rsid w:val="009E7B13"/>
    <w:rsid w:val="009F6E27"/>
    <w:rsid w:val="009F707B"/>
    <w:rsid w:val="009F7E06"/>
    <w:rsid w:val="00A02CED"/>
    <w:rsid w:val="00A02E2D"/>
    <w:rsid w:val="00A036F9"/>
    <w:rsid w:val="00A04332"/>
    <w:rsid w:val="00A07EF2"/>
    <w:rsid w:val="00A111D3"/>
    <w:rsid w:val="00A112DF"/>
    <w:rsid w:val="00A1237C"/>
    <w:rsid w:val="00A16267"/>
    <w:rsid w:val="00A205C8"/>
    <w:rsid w:val="00A205FB"/>
    <w:rsid w:val="00A2244C"/>
    <w:rsid w:val="00A235C3"/>
    <w:rsid w:val="00A2364F"/>
    <w:rsid w:val="00A2482A"/>
    <w:rsid w:val="00A26B61"/>
    <w:rsid w:val="00A2756B"/>
    <w:rsid w:val="00A27D71"/>
    <w:rsid w:val="00A30A4C"/>
    <w:rsid w:val="00A30A9A"/>
    <w:rsid w:val="00A31613"/>
    <w:rsid w:val="00A32A15"/>
    <w:rsid w:val="00A35346"/>
    <w:rsid w:val="00A36A8B"/>
    <w:rsid w:val="00A40095"/>
    <w:rsid w:val="00A40DAB"/>
    <w:rsid w:val="00A422B4"/>
    <w:rsid w:val="00A4238C"/>
    <w:rsid w:val="00A45C7A"/>
    <w:rsid w:val="00A46EBE"/>
    <w:rsid w:val="00A471BE"/>
    <w:rsid w:val="00A47421"/>
    <w:rsid w:val="00A5008A"/>
    <w:rsid w:val="00A51B64"/>
    <w:rsid w:val="00A541D0"/>
    <w:rsid w:val="00A55649"/>
    <w:rsid w:val="00A56957"/>
    <w:rsid w:val="00A56F47"/>
    <w:rsid w:val="00A5787E"/>
    <w:rsid w:val="00A60CC1"/>
    <w:rsid w:val="00A63B7F"/>
    <w:rsid w:val="00A63E2B"/>
    <w:rsid w:val="00A64170"/>
    <w:rsid w:val="00A65DCB"/>
    <w:rsid w:val="00A65FB9"/>
    <w:rsid w:val="00A718A4"/>
    <w:rsid w:val="00A71A85"/>
    <w:rsid w:val="00A72633"/>
    <w:rsid w:val="00A74BEA"/>
    <w:rsid w:val="00A74E4B"/>
    <w:rsid w:val="00A772A0"/>
    <w:rsid w:val="00A81E43"/>
    <w:rsid w:val="00A81FFE"/>
    <w:rsid w:val="00A829C6"/>
    <w:rsid w:val="00A83960"/>
    <w:rsid w:val="00A8473B"/>
    <w:rsid w:val="00A90162"/>
    <w:rsid w:val="00A905FF"/>
    <w:rsid w:val="00A91055"/>
    <w:rsid w:val="00A92851"/>
    <w:rsid w:val="00A93CCB"/>
    <w:rsid w:val="00A944C7"/>
    <w:rsid w:val="00A97A14"/>
    <w:rsid w:val="00A97D84"/>
    <w:rsid w:val="00AA0496"/>
    <w:rsid w:val="00AA0E04"/>
    <w:rsid w:val="00AA15F5"/>
    <w:rsid w:val="00AA18A9"/>
    <w:rsid w:val="00AA301E"/>
    <w:rsid w:val="00AA4E0A"/>
    <w:rsid w:val="00AA6315"/>
    <w:rsid w:val="00AA7D82"/>
    <w:rsid w:val="00AB1398"/>
    <w:rsid w:val="00AB183D"/>
    <w:rsid w:val="00AB2320"/>
    <w:rsid w:val="00AB38B1"/>
    <w:rsid w:val="00AB41CD"/>
    <w:rsid w:val="00AB65B7"/>
    <w:rsid w:val="00AB7DEA"/>
    <w:rsid w:val="00AB7FE4"/>
    <w:rsid w:val="00AC091D"/>
    <w:rsid w:val="00AC091E"/>
    <w:rsid w:val="00AC091F"/>
    <w:rsid w:val="00AC1F33"/>
    <w:rsid w:val="00AC2DD5"/>
    <w:rsid w:val="00AC3AD6"/>
    <w:rsid w:val="00AD299A"/>
    <w:rsid w:val="00AD3FEA"/>
    <w:rsid w:val="00AE0573"/>
    <w:rsid w:val="00AE0C6D"/>
    <w:rsid w:val="00AE2E93"/>
    <w:rsid w:val="00AE3548"/>
    <w:rsid w:val="00AE3945"/>
    <w:rsid w:val="00AE3A9D"/>
    <w:rsid w:val="00AE4AFE"/>
    <w:rsid w:val="00AE6E6B"/>
    <w:rsid w:val="00AF2918"/>
    <w:rsid w:val="00AF3F2F"/>
    <w:rsid w:val="00AF53DA"/>
    <w:rsid w:val="00AF54B3"/>
    <w:rsid w:val="00AF7475"/>
    <w:rsid w:val="00AF7793"/>
    <w:rsid w:val="00B001CD"/>
    <w:rsid w:val="00B010C2"/>
    <w:rsid w:val="00B012DB"/>
    <w:rsid w:val="00B01EF7"/>
    <w:rsid w:val="00B07CCD"/>
    <w:rsid w:val="00B13D35"/>
    <w:rsid w:val="00B16122"/>
    <w:rsid w:val="00B16788"/>
    <w:rsid w:val="00B176F2"/>
    <w:rsid w:val="00B17E92"/>
    <w:rsid w:val="00B17FB2"/>
    <w:rsid w:val="00B2114C"/>
    <w:rsid w:val="00B23BD2"/>
    <w:rsid w:val="00B23D41"/>
    <w:rsid w:val="00B24943"/>
    <w:rsid w:val="00B26A08"/>
    <w:rsid w:val="00B273E2"/>
    <w:rsid w:val="00B30C4A"/>
    <w:rsid w:val="00B3168E"/>
    <w:rsid w:val="00B31A75"/>
    <w:rsid w:val="00B32BBA"/>
    <w:rsid w:val="00B34E9B"/>
    <w:rsid w:val="00B35C36"/>
    <w:rsid w:val="00B35E31"/>
    <w:rsid w:val="00B36566"/>
    <w:rsid w:val="00B37214"/>
    <w:rsid w:val="00B40AC6"/>
    <w:rsid w:val="00B42A61"/>
    <w:rsid w:val="00B46DC0"/>
    <w:rsid w:val="00B51134"/>
    <w:rsid w:val="00B543EB"/>
    <w:rsid w:val="00B56656"/>
    <w:rsid w:val="00B62717"/>
    <w:rsid w:val="00B64C0F"/>
    <w:rsid w:val="00B64F3E"/>
    <w:rsid w:val="00B6634B"/>
    <w:rsid w:val="00B6650A"/>
    <w:rsid w:val="00B67E3F"/>
    <w:rsid w:val="00B732ED"/>
    <w:rsid w:val="00B7581D"/>
    <w:rsid w:val="00B75AEF"/>
    <w:rsid w:val="00B760B4"/>
    <w:rsid w:val="00B7647F"/>
    <w:rsid w:val="00B76B5F"/>
    <w:rsid w:val="00B77EE4"/>
    <w:rsid w:val="00B80F95"/>
    <w:rsid w:val="00B81C1A"/>
    <w:rsid w:val="00B82153"/>
    <w:rsid w:val="00B834D3"/>
    <w:rsid w:val="00B8436A"/>
    <w:rsid w:val="00B84C9A"/>
    <w:rsid w:val="00B8532B"/>
    <w:rsid w:val="00B85700"/>
    <w:rsid w:val="00B85FD8"/>
    <w:rsid w:val="00B87749"/>
    <w:rsid w:val="00B93A16"/>
    <w:rsid w:val="00B9588D"/>
    <w:rsid w:val="00B95937"/>
    <w:rsid w:val="00B95A65"/>
    <w:rsid w:val="00B96DBD"/>
    <w:rsid w:val="00B9751F"/>
    <w:rsid w:val="00BA0090"/>
    <w:rsid w:val="00BA16FE"/>
    <w:rsid w:val="00BA77AB"/>
    <w:rsid w:val="00BA78F4"/>
    <w:rsid w:val="00BB047C"/>
    <w:rsid w:val="00BB0A27"/>
    <w:rsid w:val="00BB4E6F"/>
    <w:rsid w:val="00BB53B8"/>
    <w:rsid w:val="00BB59C2"/>
    <w:rsid w:val="00BB5AA2"/>
    <w:rsid w:val="00BB6CA2"/>
    <w:rsid w:val="00BB73AE"/>
    <w:rsid w:val="00BC06C6"/>
    <w:rsid w:val="00BC1895"/>
    <w:rsid w:val="00BC2116"/>
    <w:rsid w:val="00BC39CB"/>
    <w:rsid w:val="00BC4314"/>
    <w:rsid w:val="00BC5851"/>
    <w:rsid w:val="00BC73FF"/>
    <w:rsid w:val="00BD08C4"/>
    <w:rsid w:val="00BD1470"/>
    <w:rsid w:val="00BD24B9"/>
    <w:rsid w:val="00BD7A88"/>
    <w:rsid w:val="00BE08EE"/>
    <w:rsid w:val="00BE1100"/>
    <w:rsid w:val="00BE34AE"/>
    <w:rsid w:val="00BE753B"/>
    <w:rsid w:val="00BF18A9"/>
    <w:rsid w:val="00BF3CA2"/>
    <w:rsid w:val="00BF59A9"/>
    <w:rsid w:val="00BF664E"/>
    <w:rsid w:val="00C00130"/>
    <w:rsid w:val="00C01387"/>
    <w:rsid w:val="00C01E33"/>
    <w:rsid w:val="00C0222C"/>
    <w:rsid w:val="00C058EA"/>
    <w:rsid w:val="00C05C22"/>
    <w:rsid w:val="00C07BC3"/>
    <w:rsid w:val="00C11220"/>
    <w:rsid w:val="00C115B7"/>
    <w:rsid w:val="00C117FE"/>
    <w:rsid w:val="00C129BD"/>
    <w:rsid w:val="00C129F2"/>
    <w:rsid w:val="00C1332E"/>
    <w:rsid w:val="00C15818"/>
    <w:rsid w:val="00C161A0"/>
    <w:rsid w:val="00C1714D"/>
    <w:rsid w:val="00C201B8"/>
    <w:rsid w:val="00C2021F"/>
    <w:rsid w:val="00C20B26"/>
    <w:rsid w:val="00C226D2"/>
    <w:rsid w:val="00C23B2D"/>
    <w:rsid w:val="00C23D84"/>
    <w:rsid w:val="00C23F2C"/>
    <w:rsid w:val="00C246FA"/>
    <w:rsid w:val="00C255B4"/>
    <w:rsid w:val="00C25EBB"/>
    <w:rsid w:val="00C26571"/>
    <w:rsid w:val="00C276B8"/>
    <w:rsid w:val="00C27A3E"/>
    <w:rsid w:val="00C27E64"/>
    <w:rsid w:val="00C30612"/>
    <w:rsid w:val="00C3163A"/>
    <w:rsid w:val="00C32149"/>
    <w:rsid w:val="00C341A4"/>
    <w:rsid w:val="00C36840"/>
    <w:rsid w:val="00C41B51"/>
    <w:rsid w:val="00C45BBF"/>
    <w:rsid w:val="00C47623"/>
    <w:rsid w:val="00C54621"/>
    <w:rsid w:val="00C5467D"/>
    <w:rsid w:val="00C54866"/>
    <w:rsid w:val="00C54ED0"/>
    <w:rsid w:val="00C557CA"/>
    <w:rsid w:val="00C60BBE"/>
    <w:rsid w:val="00C60C11"/>
    <w:rsid w:val="00C61A75"/>
    <w:rsid w:val="00C62B2C"/>
    <w:rsid w:val="00C63747"/>
    <w:rsid w:val="00C675A8"/>
    <w:rsid w:val="00C678D8"/>
    <w:rsid w:val="00C70940"/>
    <w:rsid w:val="00C71312"/>
    <w:rsid w:val="00C7344F"/>
    <w:rsid w:val="00C74439"/>
    <w:rsid w:val="00C74E50"/>
    <w:rsid w:val="00C75689"/>
    <w:rsid w:val="00C75CDD"/>
    <w:rsid w:val="00C76443"/>
    <w:rsid w:val="00C77373"/>
    <w:rsid w:val="00C81F7A"/>
    <w:rsid w:val="00C82474"/>
    <w:rsid w:val="00C8439C"/>
    <w:rsid w:val="00C860B0"/>
    <w:rsid w:val="00C91551"/>
    <w:rsid w:val="00C91792"/>
    <w:rsid w:val="00C91B42"/>
    <w:rsid w:val="00C9219C"/>
    <w:rsid w:val="00C926A7"/>
    <w:rsid w:val="00C949F0"/>
    <w:rsid w:val="00C95038"/>
    <w:rsid w:val="00C96424"/>
    <w:rsid w:val="00C96982"/>
    <w:rsid w:val="00C97352"/>
    <w:rsid w:val="00C9745C"/>
    <w:rsid w:val="00C97656"/>
    <w:rsid w:val="00CA1648"/>
    <w:rsid w:val="00CA190B"/>
    <w:rsid w:val="00CA33EB"/>
    <w:rsid w:val="00CA4012"/>
    <w:rsid w:val="00CA4E2A"/>
    <w:rsid w:val="00CA59FE"/>
    <w:rsid w:val="00CB1413"/>
    <w:rsid w:val="00CB2C2B"/>
    <w:rsid w:val="00CB39DF"/>
    <w:rsid w:val="00CB4D6F"/>
    <w:rsid w:val="00CB5A63"/>
    <w:rsid w:val="00CB6BEE"/>
    <w:rsid w:val="00CC03B0"/>
    <w:rsid w:val="00CC2CDF"/>
    <w:rsid w:val="00CC7131"/>
    <w:rsid w:val="00CC7480"/>
    <w:rsid w:val="00CD12CD"/>
    <w:rsid w:val="00CD1FE3"/>
    <w:rsid w:val="00CD351C"/>
    <w:rsid w:val="00CD4538"/>
    <w:rsid w:val="00CD7A5F"/>
    <w:rsid w:val="00CD7D31"/>
    <w:rsid w:val="00CD7E0F"/>
    <w:rsid w:val="00CE10E0"/>
    <w:rsid w:val="00CE154A"/>
    <w:rsid w:val="00CE1C79"/>
    <w:rsid w:val="00CE365A"/>
    <w:rsid w:val="00CE4451"/>
    <w:rsid w:val="00CE5E5D"/>
    <w:rsid w:val="00CE713A"/>
    <w:rsid w:val="00CE7431"/>
    <w:rsid w:val="00CF04DB"/>
    <w:rsid w:val="00CF10C0"/>
    <w:rsid w:val="00CF1411"/>
    <w:rsid w:val="00CF267E"/>
    <w:rsid w:val="00CF37FF"/>
    <w:rsid w:val="00D00C0D"/>
    <w:rsid w:val="00D01447"/>
    <w:rsid w:val="00D03AAC"/>
    <w:rsid w:val="00D06B65"/>
    <w:rsid w:val="00D07610"/>
    <w:rsid w:val="00D07A98"/>
    <w:rsid w:val="00D102AF"/>
    <w:rsid w:val="00D105A5"/>
    <w:rsid w:val="00D109F6"/>
    <w:rsid w:val="00D10EFC"/>
    <w:rsid w:val="00D114D2"/>
    <w:rsid w:val="00D11719"/>
    <w:rsid w:val="00D11BA4"/>
    <w:rsid w:val="00D11CF5"/>
    <w:rsid w:val="00D11EF9"/>
    <w:rsid w:val="00D1336E"/>
    <w:rsid w:val="00D1356C"/>
    <w:rsid w:val="00D13871"/>
    <w:rsid w:val="00D1505D"/>
    <w:rsid w:val="00D2075F"/>
    <w:rsid w:val="00D20867"/>
    <w:rsid w:val="00D22B44"/>
    <w:rsid w:val="00D26404"/>
    <w:rsid w:val="00D26BB6"/>
    <w:rsid w:val="00D26D38"/>
    <w:rsid w:val="00D27423"/>
    <w:rsid w:val="00D30910"/>
    <w:rsid w:val="00D31476"/>
    <w:rsid w:val="00D354B1"/>
    <w:rsid w:val="00D3612A"/>
    <w:rsid w:val="00D3714A"/>
    <w:rsid w:val="00D40C62"/>
    <w:rsid w:val="00D40DFF"/>
    <w:rsid w:val="00D44588"/>
    <w:rsid w:val="00D452BD"/>
    <w:rsid w:val="00D457A1"/>
    <w:rsid w:val="00D47ABB"/>
    <w:rsid w:val="00D47DB9"/>
    <w:rsid w:val="00D51493"/>
    <w:rsid w:val="00D523C4"/>
    <w:rsid w:val="00D53D03"/>
    <w:rsid w:val="00D54339"/>
    <w:rsid w:val="00D55D37"/>
    <w:rsid w:val="00D620CD"/>
    <w:rsid w:val="00D62CFD"/>
    <w:rsid w:val="00D643D5"/>
    <w:rsid w:val="00D65065"/>
    <w:rsid w:val="00D66828"/>
    <w:rsid w:val="00D67548"/>
    <w:rsid w:val="00D6780F"/>
    <w:rsid w:val="00D71194"/>
    <w:rsid w:val="00D71BA2"/>
    <w:rsid w:val="00D7526C"/>
    <w:rsid w:val="00D76630"/>
    <w:rsid w:val="00D8173E"/>
    <w:rsid w:val="00D818A7"/>
    <w:rsid w:val="00D824DB"/>
    <w:rsid w:val="00D824FA"/>
    <w:rsid w:val="00D840EF"/>
    <w:rsid w:val="00D85422"/>
    <w:rsid w:val="00D86903"/>
    <w:rsid w:val="00D87B33"/>
    <w:rsid w:val="00D90E54"/>
    <w:rsid w:val="00D948FC"/>
    <w:rsid w:val="00D965B0"/>
    <w:rsid w:val="00D96BBA"/>
    <w:rsid w:val="00DA069B"/>
    <w:rsid w:val="00DA1048"/>
    <w:rsid w:val="00DA11A2"/>
    <w:rsid w:val="00DA19E7"/>
    <w:rsid w:val="00DA1DA5"/>
    <w:rsid w:val="00DA30D9"/>
    <w:rsid w:val="00DA369C"/>
    <w:rsid w:val="00DA397D"/>
    <w:rsid w:val="00DB1579"/>
    <w:rsid w:val="00DB3001"/>
    <w:rsid w:val="00DB33E4"/>
    <w:rsid w:val="00DB3E4F"/>
    <w:rsid w:val="00DC0A8B"/>
    <w:rsid w:val="00DC15C6"/>
    <w:rsid w:val="00DC1FCD"/>
    <w:rsid w:val="00DC35CC"/>
    <w:rsid w:val="00DC4F8C"/>
    <w:rsid w:val="00DC6AF1"/>
    <w:rsid w:val="00DC725B"/>
    <w:rsid w:val="00DD0E3B"/>
    <w:rsid w:val="00DD456D"/>
    <w:rsid w:val="00DD5E89"/>
    <w:rsid w:val="00DE1709"/>
    <w:rsid w:val="00DE2BAE"/>
    <w:rsid w:val="00DE3538"/>
    <w:rsid w:val="00DE407C"/>
    <w:rsid w:val="00DE415B"/>
    <w:rsid w:val="00DE4C3A"/>
    <w:rsid w:val="00DE4C98"/>
    <w:rsid w:val="00DE56DF"/>
    <w:rsid w:val="00DE5D94"/>
    <w:rsid w:val="00DF04D5"/>
    <w:rsid w:val="00DF17A2"/>
    <w:rsid w:val="00DF23A4"/>
    <w:rsid w:val="00DF28E1"/>
    <w:rsid w:val="00DF292E"/>
    <w:rsid w:val="00DF7419"/>
    <w:rsid w:val="00DF78F8"/>
    <w:rsid w:val="00E03B23"/>
    <w:rsid w:val="00E04FDA"/>
    <w:rsid w:val="00E05B85"/>
    <w:rsid w:val="00E05DE8"/>
    <w:rsid w:val="00E07477"/>
    <w:rsid w:val="00E117DB"/>
    <w:rsid w:val="00E1358A"/>
    <w:rsid w:val="00E14423"/>
    <w:rsid w:val="00E14C6B"/>
    <w:rsid w:val="00E1560E"/>
    <w:rsid w:val="00E16279"/>
    <w:rsid w:val="00E163AE"/>
    <w:rsid w:val="00E216AF"/>
    <w:rsid w:val="00E21A3D"/>
    <w:rsid w:val="00E21A88"/>
    <w:rsid w:val="00E21E2B"/>
    <w:rsid w:val="00E2262C"/>
    <w:rsid w:val="00E25891"/>
    <w:rsid w:val="00E267C9"/>
    <w:rsid w:val="00E27540"/>
    <w:rsid w:val="00E30E80"/>
    <w:rsid w:val="00E3397B"/>
    <w:rsid w:val="00E36E3C"/>
    <w:rsid w:val="00E37154"/>
    <w:rsid w:val="00E379A8"/>
    <w:rsid w:val="00E405D3"/>
    <w:rsid w:val="00E41507"/>
    <w:rsid w:val="00E41AD2"/>
    <w:rsid w:val="00E459D8"/>
    <w:rsid w:val="00E45E3C"/>
    <w:rsid w:val="00E46792"/>
    <w:rsid w:val="00E469BA"/>
    <w:rsid w:val="00E46C89"/>
    <w:rsid w:val="00E5011D"/>
    <w:rsid w:val="00E507AE"/>
    <w:rsid w:val="00E51A4F"/>
    <w:rsid w:val="00E51A77"/>
    <w:rsid w:val="00E51FDE"/>
    <w:rsid w:val="00E54B22"/>
    <w:rsid w:val="00E5508B"/>
    <w:rsid w:val="00E57735"/>
    <w:rsid w:val="00E60FF9"/>
    <w:rsid w:val="00E61F4F"/>
    <w:rsid w:val="00E64636"/>
    <w:rsid w:val="00E658B7"/>
    <w:rsid w:val="00E7003E"/>
    <w:rsid w:val="00E701BF"/>
    <w:rsid w:val="00E7562A"/>
    <w:rsid w:val="00E75EA7"/>
    <w:rsid w:val="00E77720"/>
    <w:rsid w:val="00E80C80"/>
    <w:rsid w:val="00E80C84"/>
    <w:rsid w:val="00E810AD"/>
    <w:rsid w:val="00E8295D"/>
    <w:rsid w:val="00E84425"/>
    <w:rsid w:val="00E925AA"/>
    <w:rsid w:val="00E968C1"/>
    <w:rsid w:val="00E9771A"/>
    <w:rsid w:val="00EA1253"/>
    <w:rsid w:val="00EA189D"/>
    <w:rsid w:val="00EA2372"/>
    <w:rsid w:val="00EA3C83"/>
    <w:rsid w:val="00EA47A1"/>
    <w:rsid w:val="00EA4C97"/>
    <w:rsid w:val="00EA50A5"/>
    <w:rsid w:val="00EA5231"/>
    <w:rsid w:val="00EA65A7"/>
    <w:rsid w:val="00EA6701"/>
    <w:rsid w:val="00EA6B3C"/>
    <w:rsid w:val="00EA795E"/>
    <w:rsid w:val="00EB0BD4"/>
    <w:rsid w:val="00EB3F85"/>
    <w:rsid w:val="00EB42D4"/>
    <w:rsid w:val="00EB4414"/>
    <w:rsid w:val="00EB53F7"/>
    <w:rsid w:val="00EB54A9"/>
    <w:rsid w:val="00EC0231"/>
    <w:rsid w:val="00EC3164"/>
    <w:rsid w:val="00EC3703"/>
    <w:rsid w:val="00EC3C6B"/>
    <w:rsid w:val="00EC561D"/>
    <w:rsid w:val="00EC56A2"/>
    <w:rsid w:val="00EC734E"/>
    <w:rsid w:val="00EC74ED"/>
    <w:rsid w:val="00ED0622"/>
    <w:rsid w:val="00ED07EB"/>
    <w:rsid w:val="00ED151B"/>
    <w:rsid w:val="00ED1686"/>
    <w:rsid w:val="00ED194F"/>
    <w:rsid w:val="00ED1E5F"/>
    <w:rsid w:val="00ED3531"/>
    <w:rsid w:val="00ED3CC4"/>
    <w:rsid w:val="00ED5F9E"/>
    <w:rsid w:val="00ED636F"/>
    <w:rsid w:val="00ED760B"/>
    <w:rsid w:val="00EE043E"/>
    <w:rsid w:val="00EE06B8"/>
    <w:rsid w:val="00EE06CE"/>
    <w:rsid w:val="00EE1413"/>
    <w:rsid w:val="00EE16E2"/>
    <w:rsid w:val="00EE280E"/>
    <w:rsid w:val="00EE2817"/>
    <w:rsid w:val="00EE36AE"/>
    <w:rsid w:val="00EE39F9"/>
    <w:rsid w:val="00EE4644"/>
    <w:rsid w:val="00EE4A23"/>
    <w:rsid w:val="00EE4B3B"/>
    <w:rsid w:val="00EE5AED"/>
    <w:rsid w:val="00EF0D94"/>
    <w:rsid w:val="00EF1CEB"/>
    <w:rsid w:val="00EF1D4D"/>
    <w:rsid w:val="00EF2285"/>
    <w:rsid w:val="00EF369D"/>
    <w:rsid w:val="00EF3968"/>
    <w:rsid w:val="00EF3FD4"/>
    <w:rsid w:val="00EF40C3"/>
    <w:rsid w:val="00F0029D"/>
    <w:rsid w:val="00F07737"/>
    <w:rsid w:val="00F0783C"/>
    <w:rsid w:val="00F112FC"/>
    <w:rsid w:val="00F1380F"/>
    <w:rsid w:val="00F13817"/>
    <w:rsid w:val="00F14363"/>
    <w:rsid w:val="00F2424A"/>
    <w:rsid w:val="00F25240"/>
    <w:rsid w:val="00F25DFA"/>
    <w:rsid w:val="00F26FF8"/>
    <w:rsid w:val="00F27211"/>
    <w:rsid w:val="00F31257"/>
    <w:rsid w:val="00F31EBF"/>
    <w:rsid w:val="00F3479F"/>
    <w:rsid w:val="00F34D57"/>
    <w:rsid w:val="00F35F39"/>
    <w:rsid w:val="00F37A1D"/>
    <w:rsid w:val="00F40422"/>
    <w:rsid w:val="00F42282"/>
    <w:rsid w:val="00F44942"/>
    <w:rsid w:val="00F45E90"/>
    <w:rsid w:val="00F46F81"/>
    <w:rsid w:val="00F47F07"/>
    <w:rsid w:val="00F50A27"/>
    <w:rsid w:val="00F50EA9"/>
    <w:rsid w:val="00F52136"/>
    <w:rsid w:val="00F56B8E"/>
    <w:rsid w:val="00F56F98"/>
    <w:rsid w:val="00F573A7"/>
    <w:rsid w:val="00F62BEA"/>
    <w:rsid w:val="00F63104"/>
    <w:rsid w:val="00F63C40"/>
    <w:rsid w:val="00F67000"/>
    <w:rsid w:val="00F678DB"/>
    <w:rsid w:val="00F70CFE"/>
    <w:rsid w:val="00F73246"/>
    <w:rsid w:val="00F7675C"/>
    <w:rsid w:val="00F77362"/>
    <w:rsid w:val="00F800B2"/>
    <w:rsid w:val="00F815E2"/>
    <w:rsid w:val="00F82A4D"/>
    <w:rsid w:val="00F840D1"/>
    <w:rsid w:val="00F84A31"/>
    <w:rsid w:val="00F8638F"/>
    <w:rsid w:val="00F8687A"/>
    <w:rsid w:val="00F86A03"/>
    <w:rsid w:val="00F91728"/>
    <w:rsid w:val="00F97FAA"/>
    <w:rsid w:val="00FA1445"/>
    <w:rsid w:val="00FA22B9"/>
    <w:rsid w:val="00FA237F"/>
    <w:rsid w:val="00FA2F5A"/>
    <w:rsid w:val="00FA31BB"/>
    <w:rsid w:val="00FA5FE7"/>
    <w:rsid w:val="00FA6ABA"/>
    <w:rsid w:val="00FA6B8B"/>
    <w:rsid w:val="00FB1473"/>
    <w:rsid w:val="00FC05DC"/>
    <w:rsid w:val="00FC3295"/>
    <w:rsid w:val="00FC33E7"/>
    <w:rsid w:val="00FC376D"/>
    <w:rsid w:val="00FC6D1A"/>
    <w:rsid w:val="00FD034D"/>
    <w:rsid w:val="00FD28E4"/>
    <w:rsid w:val="00FD4393"/>
    <w:rsid w:val="00FD524E"/>
    <w:rsid w:val="00FD5485"/>
    <w:rsid w:val="00FD662E"/>
    <w:rsid w:val="00FD71D9"/>
    <w:rsid w:val="00FE005C"/>
    <w:rsid w:val="00FE4952"/>
    <w:rsid w:val="00FF1B5A"/>
    <w:rsid w:val="00FF40A6"/>
    <w:rsid w:val="00FF63E6"/>
    <w:rsid w:val="00FF7F12"/>
    <w:rsid w:val="29635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uiPriority="0" w:name="footnote text"/>
    <w:lsdException w:qFormat="1" w:uiPriority="99" w:name="annotation text"/>
    <w:lsdException w:unhideWhenUsed="0" w:uiPriority="99" w:semiHidden="0" w:name="header"/>
    <w:lsdException w:unhideWhenUsed="0" w:uiPriority="99" w:semiHidden="0" w:name="footer"/>
    <w:lsdException w:uiPriority="0" w:name="index heading"/>
    <w:lsdException w:qFormat="1" w:unhideWhenUsed="0" w:uiPriority="0" w:semiHidden="0" w:name="caption"/>
    <w:lsdException w:qFormat="1" w:uiPriority="0" w:semiHidden="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widowControl/>
      <w:numPr>
        <w:ilvl w:val="0"/>
        <w:numId w:val="1"/>
      </w:numPr>
      <w:spacing w:before="120" w:after="120" w:line="300" w:lineRule="auto"/>
      <w:outlineLvl w:val="0"/>
    </w:pPr>
    <w:rPr>
      <w:rFonts w:eastAsia="黑体"/>
      <w:bCs/>
      <w:kern w:val="44"/>
      <w:sz w:val="28"/>
    </w:rPr>
  </w:style>
  <w:style w:type="paragraph" w:styleId="3">
    <w:name w:val="heading 2"/>
    <w:basedOn w:val="1"/>
    <w:next w:val="1"/>
    <w:qFormat/>
    <w:uiPriority w:val="0"/>
    <w:pPr>
      <w:keepNext/>
      <w:keepLines/>
      <w:numPr>
        <w:ilvl w:val="1"/>
        <w:numId w:val="1"/>
      </w:numPr>
      <w:spacing w:line="300" w:lineRule="auto"/>
      <w:outlineLvl w:val="1"/>
    </w:pPr>
    <w:rPr>
      <w:rFonts w:ascii="Arial" w:hAnsi="Arial" w:eastAsia="黑体"/>
      <w:bCs/>
      <w:snapToGrid w:val="0"/>
      <w:szCs w:val="21"/>
      <w:lang w:val="sv-SE"/>
    </w:rPr>
  </w:style>
  <w:style w:type="paragraph" w:styleId="4">
    <w:name w:val="heading 3"/>
    <w:basedOn w:val="1"/>
    <w:next w:val="1"/>
    <w:qFormat/>
    <w:uiPriority w:val="0"/>
    <w:pPr>
      <w:keepNext/>
      <w:keepLines/>
      <w:widowControl/>
      <w:numPr>
        <w:ilvl w:val="2"/>
        <w:numId w:val="1"/>
      </w:numPr>
      <w:spacing w:before="120" w:after="120" w:line="300" w:lineRule="auto"/>
      <w:outlineLvl w:val="2"/>
    </w:pPr>
    <w:rPr>
      <w:rFonts w:eastAsia="黑体"/>
      <w:bCs/>
      <w:szCs w:val="32"/>
    </w:rPr>
  </w:style>
  <w:style w:type="paragraph" w:styleId="5">
    <w:name w:val="heading 4"/>
    <w:basedOn w:val="1"/>
    <w:next w:val="1"/>
    <w:qFormat/>
    <w:uiPriority w:val="0"/>
    <w:pPr>
      <w:keepNext/>
      <w:keepLines/>
      <w:numPr>
        <w:ilvl w:val="3"/>
        <w:numId w:val="1"/>
      </w:numPr>
      <w:spacing w:before="120" w:after="120" w:line="300" w:lineRule="auto"/>
      <w:outlineLvl w:val="3"/>
    </w:pPr>
    <w:rPr>
      <w:rFonts w:ascii="Arial" w:hAnsi="Arial"/>
      <w:bCs/>
      <w:szCs w:val="28"/>
    </w:rPr>
  </w:style>
  <w:style w:type="paragraph" w:styleId="6">
    <w:name w:val="heading 5"/>
    <w:basedOn w:val="1"/>
    <w:next w:val="1"/>
    <w:qFormat/>
    <w:uiPriority w:val="0"/>
    <w:pPr>
      <w:keepNext/>
      <w:keepLines/>
      <w:numPr>
        <w:ilvl w:val="4"/>
        <w:numId w:val="1"/>
      </w:numPr>
      <w:outlineLvl w:val="4"/>
    </w:pPr>
    <w:rPr>
      <w:rFonts w:eastAsiaTheme="minorEastAsia"/>
      <w:b/>
      <w:bCs/>
      <w:szCs w:val="28"/>
    </w:rPr>
  </w:style>
  <w:style w:type="paragraph" w:styleId="7">
    <w:name w:val="heading 6"/>
    <w:basedOn w:val="1"/>
    <w:next w:val="1"/>
    <w:qFormat/>
    <w:uiPriority w:val="0"/>
    <w:pPr>
      <w:keepNext/>
      <w:keepLines/>
      <w:numPr>
        <w:ilvl w:val="5"/>
        <w:numId w:val="1"/>
      </w:numPr>
      <w:outlineLvl w:val="5"/>
    </w:pPr>
    <w:rPr>
      <w:rFonts w:ascii="Arial" w:hAnsi="Arial"/>
      <w:b/>
      <w:bCs/>
    </w:rPr>
  </w:style>
  <w:style w:type="paragraph" w:styleId="8">
    <w:name w:val="heading 7"/>
    <w:basedOn w:val="1"/>
    <w:next w:val="1"/>
    <w:qFormat/>
    <w:uiPriority w:val="0"/>
    <w:pPr>
      <w:keepNext/>
      <w:keepLines/>
      <w:numPr>
        <w:ilvl w:val="6"/>
        <w:numId w:val="1"/>
      </w:numPr>
      <w:spacing w:before="240" w:after="64" w:line="320" w:lineRule="auto"/>
      <w:outlineLvl w:val="6"/>
    </w:pPr>
    <w:rPr>
      <w:b/>
      <w:bCs/>
    </w:rPr>
  </w:style>
  <w:style w:type="paragraph" w:styleId="9">
    <w:name w:val="heading 8"/>
    <w:basedOn w:val="1"/>
    <w:next w:val="1"/>
    <w:qFormat/>
    <w:uiPriority w:val="0"/>
    <w:pPr>
      <w:keepNext/>
      <w:keepLines/>
      <w:numPr>
        <w:ilvl w:val="7"/>
        <w:numId w:val="1"/>
      </w:numPr>
      <w:spacing w:before="240" w:after="64" w:line="320" w:lineRule="auto"/>
      <w:outlineLvl w:val="7"/>
    </w:pPr>
    <w:rPr>
      <w:rFonts w:ascii="Arial" w:hAnsi="Arial" w:eastAsia="黑体"/>
    </w:rPr>
  </w:style>
  <w:style w:type="paragraph" w:styleId="10">
    <w:name w:val="heading 9"/>
    <w:basedOn w:val="1"/>
    <w:next w:val="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30">
    <w:name w:val="Default Paragraph Font"/>
    <w:semiHidden/>
    <w:unhideWhenUsed/>
    <w:qFormat/>
    <w:uiPriority w:val="1"/>
  </w:style>
  <w:style w:type="table" w:default="1" w:styleId="35">
    <w:name w:val="Normal Table"/>
    <w:semiHidden/>
    <w:unhideWhenUsed/>
    <w:uiPriority w:val="99"/>
    <w:tblPr>
      <w:tblLayout w:type="fixed"/>
      <w:tblCellMar>
        <w:top w:w="0" w:type="dxa"/>
        <w:left w:w="108" w:type="dxa"/>
        <w:bottom w:w="0" w:type="dxa"/>
        <w:right w:w="108" w:type="dxa"/>
      </w:tblCellMar>
    </w:tblPr>
  </w:style>
  <w:style w:type="paragraph" w:styleId="11">
    <w:name w:val="annotation subject"/>
    <w:basedOn w:val="12"/>
    <w:next w:val="12"/>
    <w:link w:val="59"/>
    <w:semiHidden/>
    <w:unhideWhenUsed/>
    <w:qFormat/>
    <w:uiPriority w:val="0"/>
    <w:rPr>
      <w:b/>
      <w:bCs/>
    </w:rPr>
  </w:style>
  <w:style w:type="paragraph" w:styleId="12">
    <w:name w:val="annotation text"/>
    <w:basedOn w:val="1"/>
    <w:link w:val="58"/>
    <w:semiHidden/>
    <w:unhideWhenUsed/>
    <w:qFormat/>
    <w:uiPriority w:val="99"/>
    <w:pPr>
      <w:jc w:val="left"/>
    </w:pPr>
  </w:style>
  <w:style w:type="paragraph" w:styleId="13">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4">
    <w:name w:val="caption"/>
    <w:basedOn w:val="1"/>
    <w:next w:val="1"/>
    <w:link w:val="45"/>
    <w:qFormat/>
    <w:uiPriority w:val="0"/>
    <w:pPr>
      <w:widowControl/>
      <w:spacing w:before="120" w:after="120" w:line="360" w:lineRule="auto"/>
      <w:ind w:firstLine="200" w:firstLineChars="200"/>
    </w:pPr>
    <w:rPr>
      <w:szCs w:val="20"/>
    </w:rPr>
  </w:style>
  <w:style w:type="paragraph" w:styleId="15">
    <w:name w:val="Document Map"/>
    <w:basedOn w:val="1"/>
    <w:semiHidden/>
    <w:uiPriority w:val="0"/>
    <w:pPr>
      <w:shd w:val="clear" w:color="auto" w:fill="000080"/>
    </w:pPr>
  </w:style>
  <w:style w:type="paragraph" w:styleId="16">
    <w:name w:val="Body Text Indent"/>
    <w:basedOn w:val="1"/>
    <w:link w:val="63"/>
    <w:qFormat/>
    <w:uiPriority w:val="0"/>
    <w:pPr>
      <w:ind w:firstLine="434" w:firstLineChars="181"/>
    </w:pPr>
    <w:rPr>
      <w:rFonts w:ascii="宋体"/>
    </w:rPr>
  </w:style>
  <w:style w:type="paragraph" w:styleId="17">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8">
    <w:name w:val="toc 3"/>
    <w:basedOn w:val="1"/>
    <w:next w:val="1"/>
    <w:unhideWhenUsed/>
    <w:qFormat/>
    <w:uiPriority w:val="39"/>
    <w:pPr>
      <w:spacing w:line="300" w:lineRule="auto"/>
      <w:ind w:left="200" w:leftChars="200"/>
    </w:pPr>
    <w:rPr>
      <w:rFonts w:eastAsia="Times New Roman"/>
    </w:rPr>
  </w:style>
  <w:style w:type="paragraph" w:styleId="19">
    <w:name w:val="Plain Text"/>
    <w:basedOn w:val="1"/>
    <w:link w:val="38"/>
    <w:semiHidden/>
    <w:uiPriority w:val="0"/>
    <w:pPr>
      <w:numPr>
        <w:ilvl w:val="0"/>
        <w:numId w:val="2"/>
      </w:numPr>
    </w:pPr>
    <w:rPr>
      <w:rFonts w:ascii="宋体" w:hAnsi="Courier New" w:cs="Courier New"/>
      <w:szCs w:val="21"/>
    </w:rPr>
  </w:style>
  <w:style w:type="paragraph" w:styleId="20">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1">
    <w:name w:val="Balloon Text"/>
    <w:basedOn w:val="1"/>
    <w:link w:val="49"/>
    <w:qFormat/>
    <w:uiPriority w:val="0"/>
    <w:rPr>
      <w:sz w:val="18"/>
      <w:szCs w:val="18"/>
    </w:rPr>
  </w:style>
  <w:style w:type="paragraph" w:styleId="22">
    <w:name w:val="footer"/>
    <w:basedOn w:val="1"/>
    <w:link w:val="44"/>
    <w:uiPriority w:val="99"/>
    <w:pPr>
      <w:tabs>
        <w:tab w:val="center" w:pos="4153"/>
        <w:tab w:val="right" w:pos="8306"/>
      </w:tabs>
      <w:snapToGrid w:val="0"/>
      <w:jc w:val="left"/>
    </w:pPr>
    <w:rPr>
      <w:sz w:val="18"/>
      <w:szCs w:val="18"/>
    </w:rPr>
  </w:style>
  <w:style w:type="paragraph" w:styleId="23">
    <w:name w:val="header"/>
    <w:basedOn w:val="1"/>
    <w:link w:val="43"/>
    <w:uiPriority w:val="99"/>
    <w:pPr>
      <w:tabs>
        <w:tab w:val="center" w:pos="4153"/>
        <w:tab w:val="right" w:pos="8306"/>
      </w:tabs>
      <w:snapToGrid w:val="0"/>
      <w:jc w:val="center"/>
    </w:pPr>
    <w:rPr>
      <w:sz w:val="18"/>
      <w:szCs w:val="18"/>
    </w:rPr>
  </w:style>
  <w:style w:type="paragraph" w:styleId="24">
    <w:name w:val="toc 1"/>
    <w:basedOn w:val="1"/>
    <w:next w:val="1"/>
    <w:qFormat/>
    <w:uiPriority w:val="39"/>
    <w:pPr>
      <w:tabs>
        <w:tab w:val="left" w:pos="420"/>
        <w:tab w:val="right" w:leader="dot" w:pos="8302"/>
      </w:tabs>
      <w:spacing w:line="300" w:lineRule="auto"/>
    </w:pPr>
  </w:style>
  <w:style w:type="paragraph" w:styleId="25">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6">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7">
    <w:name w:val="table of figures"/>
    <w:basedOn w:val="1"/>
    <w:next w:val="1"/>
    <w:unhideWhenUsed/>
    <w:qFormat/>
    <w:uiPriority w:val="0"/>
    <w:pPr>
      <w:ind w:left="420" w:hanging="420"/>
      <w:jc w:val="left"/>
    </w:pPr>
    <w:rPr>
      <w:rFonts w:asciiTheme="minorHAnsi" w:hAnsiTheme="minorHAnsi" w:cstheme="minorHAnsi"/>
      <w:b/>
      <w:bCs/>
      <w:sz w:val="20"/>
      <w:szCs w:val="20"/>
    </w:rPr>
  </w:style>
  <w:style w:type="paragraph" w:styleId="28">
    <w:name w:val="toc 2"/>
    <w:basedOn w:val="1"/>
    <w:next w:val="1"/>
    <w:unhideWhenUsed/>
    <w:qFormat/>
    <w:uiPriority w:val="39"/>
    <w:pPr>
      <w:tabs>
        <w:tab w:val="left" w:pos="420"/>
        <w:tab w:val="right" w:leader="dot" w:pos="8302"/>
      </w:tabs>
      <w:spacing w:line="300" w:lineRule="auto"/>
      <w:ind w:left="100" w:leftChars="100"/>
    </w:pPr>
  </w:style>
  <w:style w:type="paragraph" w:styleId="29">
    <w:name w:val="toc 9"/>
    <w:basedOn w:val="1"/>
    <w:next w:val="1"/>
    <w:unhideWhenUsed/>
    <w:qFormat/>
    <w:uiPriority w:val="39"/>
    <w:pPr>
      <w:ind w:left="3360" w:leftChars="1600"/>
    </w:pPr>
    <w:rPr>
      <w:rFonts w:asciiTheme="minorHAnsi" w:hAnsiTheme="minorHAnsi" w:eastAsiaTheme="minorEastAsia" w:cstheme="minorBidi"/>
      <w:szCs w:val="22"/>
    </w:rPr>
  </w:style>
  <w:style w:type="character" w:styleId="31">
    <w:name w:val="page number"/>
    <w:basedOn w:val="30"/>
    <w:uiPriority w:val="0"/>
  </w:style>
  <w:style w:type="character" w:styleId="32">
    <w:name w:val="Emphasis"/>
    <w:qFormat/>
    <w:uiPriority w:val="0"/>
    <w:rPr>
      <w:color w:val="CC0033"/>
    </w:rPr>
  </w:style>
  <w:style w:type="character" w:styleId="33">
    <w:name w:val="Hyperlink"/>
    <w:basedOn w:val="30"/>
    <w:unhideWhenUsed/>
    <w:qFormat/>
    <w:uiPriority w:val="99"/>
    <w:rPr>
      <w:color w:val="0000FF" w:themeColor="hyperlink"/>
      <w:u w:val="single"/>
      <w14:textFill>
        <w14:solidFill>
          <w14:schemeClr w14:val="hlink"/>
        </w14:solidFill>
      </w14:textFill>
    </w:rPr>
  </w:style>
  <w:style w:type="character" w:styleId="34">
    <w:name w:val="annotation reference"/>
    <w:basedOn w:val="30"/>
    <w:semiHidden/>
    <w:unhideWhenUsed/>
    <w:qFormat/>
    <w:uiPriority w:val="99"/>
    <w:rPr>
      <w:sz w:val="21"/>
      <w:szCs w:val="21"/>
    </w:r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7">
    <w:name w:val="Revision"/>
    <w:hidden/>
    <w:semiHidden/>
    <w:uiPriority w:val="0"/>
    <w:rPr>
      <w:rFonts w:ascii="Times New Roman" w:hAnsi="Times New Roman" w:eastAsia="宋体" w:cs="Times New Roman"/>
      <w:kern w:val="2"/>
      <w:sz w:val="21"/>
      <w:szCs w:val="24"/>
      <w:lang w:val="en-US" w:eastAsia="zh-CN" w:bidi="ar-SA"/>
    </w:rPr>
  </w:style>
  <w:style w:type="character" w:customStyle="1" w:styleId="38">
    <w:name w:val="纯文本 Char2"/>
    <w:basedOn w:val="30"/>
    <w:link w:val="19"/>
    <w:semiHidden/>
    <w:uiPriority w:val="0"/>
    <w:rPr>
      <w:rFonts w:ascii="宋体" w:hAnsi="Courier New" w:cs="Courier New"/>
      <w:kern w:val="2"/>
      <w:sz w:val="24"/>
      <w:szCs w:val="21"/>
    </w:rPr>
  </w:style>
  <w:style w:type="paragraph" w:customStyle="1" w:styleId="39">
    <w:name w:val="ANNEX_title"/>
    <w:basedOn w:val="1"/>
    <w:next w:val="40"/>
    <w:semiHidden/>
    <w:uiPriority w:val="0"/>
    <w:pPr>
      <w:pageBreakBefore/>
      <w:widowControl/>
      <w:numPr>
        <w:ilvl w:val="2"/>
        <w:numId w:val="2"/>
      </w:numPr>
      <w:snapToGrid w:val="0"/>
      <w:spacing w:after="200"/>
      <w:jc w:val="center"/>
      <w:outlineLvl w:val="0"/>
    </w:pPr>
    <w:rPr>
      <w:rFonts w:ascii="Arial" w:hAnsi="Arial" w:cs="Arial"/>
      <w:b/>
      <w:bCs/>
      <w:spacing w:val="8"/>
      <w:kern w:val="0"/>
      <w:lang w:val="en-GB"/>
    </w:rPr>
  </w:style>
  <w:style w:type="paragraph" w:customStyle="1" w:styleId="40">
    <w:name w:val="ANNEX-heading1"/>
    <w:basedOn w:val="2"/>
    <w:next w:val="1"/>
    <w:semiHidden/>
    <w:uiPriority w:val="0"/>
    <w:pPr>
      <w:keepNext w:val="0"/>
      <w:keepLines w:val="0"/>
      <w:numPr>
        <w:ilvl w:val="3"/>
        <w:numId w:val="2"/>
      </w:numPr>
      <w:suppressAutoHyphens/>
      <w:snapToGrid w:val="0"/>
      <w:spacing w:before="200" w:after="200"/>
      <w:jc w:val="left"/>
      <w:outlineLvl w:val="1"/>
    </w:pPr>
    <w:rPr>
      <w:rFonts w:ascii="Arial" w:hAnsi="Arial" w:cs="Arial"/>
      <w:spacing w:val="8"/>
      <w:kern w:val="0"/>
      <w:sz w:val="22"/>
      <w:szCs w:val="22"/>
      <w:lang w:val="en-GB"/>
    </w:rPr>
  </w:style>
  <w:style w:type="paragraph" w:customStyle="1" w:styleId="41">
    <w:name w:val="ANNEX-heading2"/>
    <w:basedOn w:val="3"/>
    <w:next w:val="1"/>
    <w:semiHidden/>
    <w:uiPriority w:val="0"/>
    <w:pPr>
      <w:keepLines w:val="0"/>
      <w:numPr>
        <w:ilvl w:val="4"/>
        <w:numId w:val="2"/>
      </w:numPr>
      <w:suppressAutoHyphens/>
      <w:snapToGrid w:val="0"/>
      <w:spacing w:before="100" w:after="100"/>
      <w:jc w:val="left"/>
      <w:outlineLvl w:val="2"/>
    </w:pPr>
    <w:rPr>
      <w:rFonts w:eastAsia="宋体" w:cs="Arial"/>
      <w:b/>
      <w:spacing w:val="8"/>
      <w:kern w:val="0"/>
      <w:sz w:val="20"/>
      <w:szCs w:val="20"/>
      <w:lang w:val="en-GB"/>
    </w:rPr>
  </w:style>
  <w:style w:type="paragraph" w:customStyle="1" w:styleId="42">
    <w:name w:val="ANNEX-heading3"/>
    <w:basedOn w:val="4"/>
    <w:next w:val="1"/>
    <w:semiHidden/>
    <w:uiPriority w:val="0"/>
    <w:pPr>
      <w:keepLines w:val="0"/>
      <w:numPr>
        <w:ilvl w:val="5"/>
        <w:numId w:val="2"/>
      </w:numPr>
      <w:suppressAutoHyphens/>
      <w:snapToGrid w:val="0"/>
      <w:spacing w:before="100" w:after="100"/>
      <w:jc w:val="left"/>
      <w:outlineLvl w:val="3"/>
    </w:pPr>
    <w:rPr>
      <w:rFonts w:ascii="Arial" w:hAnsi="Arial" w:cs="Arial"/>
      <w:spacing w:val="8"/>
      <w:kern w:val="0"/>
      <w:sz w:val="20"/>
      <w:szCs w:val="20"/>
      <w:lang w:val="en-GB"/>
    </w:rPr>
  </w:style>
  <w:style w:type="character" w:customStyle="1" w:styleId="43">
    <w:name w:val="页眉 Char"/>
    <w:basedOn w:val="30"/>
    <w:link w:val="23"/>
    <w:uiPriority w:val="99"/>
    <w:rPr>
      <w:kern w:val="2"/>
      <w:sz w:val="18"/>
      <w:szCs w:val="18"/>
    </w:rPr>
  </w:style>
  <w:style w:type="character" w:customStyle="1" w:styleId="44">
    <w:name w:val="页脚 Char"/>
    <w:basedOn w:val="30"/>
    <w:link w:val="22"/>
    <w:uiPriority w:val="99"/>
    <w:rPr>
      <w:kern w:val="2"/>
      <w:sz w:val="18"/>
      <w:szCs w:val="18"/>
    </w:rPr>
  </w:style>
  <w:style w:type="character" w:customStyle="1" w:styleId="45">
    <w:name w:val="题注 Char"/>
    <w:link w:val="14"/>
    <w:uiPriority w:val="0"/>
    <w:rPr>
      <w:kern w:val="2"/>
      <w:sz w:val="21"/>
    </w:rPr>
  </w:style>
  <w:style w:type="paragraph" w:styleId="46">
    <w:name w:val="No Spacing"/>
    <w:qFormat/>
    <w:uiPriority w:val="1"/>
    <w:pPr>
      <w:jc w:val="center"/>
    </w:pPr>
    <w:rPr>
      <w:rFonts w:ascii="Times New Roman" w:hAnsi="Times New Roman" w:cs="Times New Roman" w:eastAsiaTheme="majorEastAsia"/>
      <w:b/>
      <w:kern w:val="2"/>
      <w:sz w:val="21"/>
      <w:lang w:val="en-US" w:eastAsia="zh-CN" w:bidi="ar-SA"/>
    </w:rPr>
  </w:style>
  <w:style w:type="character" w:customStyle="1" w:styleId="47">
    <w:name w:val="样式 正文首行缩进 + 段前: 0.5 行 段后: 0.5 行 Char Char"/>
    <w:link w:val="48"/>
    <w:qFormat/>
    <w:uiPriority w:val="0"/>
    <w:rPr>
      <w:kern w:val="2"/>
      <w:sz w:val="24"/>
    </w:rPr>
  </w:style>
  <w:style w:type="paragraph" w:customStyle="1" w:styleId="48">
    <w:name w:val="样式 正文首行缩进 + 段前: 0.5 行 段后: 0.5 行"/>
    <w:basedOn w:val="1"/>
    <w:link w:val="47"/>
    <w:qFormat/>
    <w:uiPriority w:val="0"/>
    <w:pPr>
      <w:widowControl/>
      <w:spacing w:after="156" w:line="360" w:lineRule="auto"/>
      <w:ind w:firstLine="420" w:firstLineChars="200"/>
    </w:pPr>
    <w:rPr>
      <w:szCs w:val="20"/>
    </w:rPr>
  </w:style>
  <w:style w:type="character" w:customStyle="1" w:styleId="49">
    <w:name w:val="批注框文本 Char"/>
    <w:basedOn w:val="30"/>
    <w:link w:val="21"/>
    <w:qFormat/>
    <w:uiPriority w:val="0"/>
    <w:rPr>
      <w:kern w:val="2"/>
      <w:sz w:val="18"/>
      <w:szCs w:val="18"/>
    </w:rPr>
  </w:style>
  <w:style w:type="paragraph" w:customStyle="1" w:styleId="50">
    <w:name w:val="插图标题"/>
    <w:basedOn w:val="14"/>
    <w:link w:val="51"/>
    <w:qFormat/>
    <w:uiPriority w:val="0"/>
    <w:pPr>
      <w:widowControl w:val="0"/>
      <w:spacing w:before="0" w:after="0" w:line="240" w:lineRule="auto"/>
      <w:ind w:firstLine="0" w:firstLineChars="0"/>
      <w:jc w:val="center"/>
    </w:pPr>
    <w:rPr>
      <w:rFonts w:ascii="宋体" w:hAnsi="宋体"/>
      <w:b/>
      <w:sz w:val="20"/>
    </w:rPr>
  </w:style>
  <w:style w:type="character" w:customStyle="1" w:styleId="51">
    <w:name w:val="插图标题 Char"/>
    <w:link w:val="50"/>
    <w:qFormat/>
    <w:uiPriority w:val="0"/>
    <w:rPr>
      <w:rFonts w:ascii="宋体" w:hAnsi="宋体"/>
      <w:b/>
      <w:kern w:val="2"/>
    </w:rPr>
  </w:style>
  <w:style w:type="paragraph" w:customStyle="1" w:styleId="52">
    <w:name w:val="KD_BodyText"/>
    <w:basedOn w:val="1"/>
    <w:qFormat/>
    <w:uiPriority w:val="0"/>
    <w:pPr>
      <w:spacing w:before="120" w:after="120" w:line="360" w:lineRule="auto"/>
      <w:ind w:firstLine="200" w:firstLineChars="200"/>
    </w:pPr>
    <w:rPr>
      <w:rFonts w:ascii="Calibri" w:hAnsi="Calibri"/>
      <w:szCs w:val="20"/>
    </w:rPr>
  </w:style>
  <w:style w:type="paragraph" w:styleId="53">
    <w:name w:val="List Paragraph"/>
    <w:basedOn w:val="1"/>
    <w:qFormat/>
    <w:uiPriority w:val="34"/>
    <w:pPr>
      <w:ind w:firstLine="420" w:firstLineChars="200"/>
    </w:pPr>
  </w:style>
  <w:style w:type="paragraph" w:customStyle="1" w:styleId="54">
    <w:name w:val="正文1"/>
    <w:basedOn w:val="1"/>
    <w:link w:val="55"/>
    <w:qFormat/>
    <w:uiPriority w:val="0"/>
    <w:pPr>
      <w:ind w:firstLine="420"/>
    </w:pPr>
    <w:rPr>
      <w:rFonts w:hAnsi="宋体"/>
    </w:rPr>
  </w:style>
  <w:style w:type="character" w:customStyle="1" w:styleId="55">
    <w:name w:val="正文1 Char"/>
    <w:basedOn w:val="30"/>
    <w:link w:val="54"/>
    <w:qFormat/>
    <w:uiPriority w:val="0"/>
    <w:rPr>
      <w:rFonts w:hAnsi="宋体"/>
      <w:kern w:val="2"/>
      <w:sz w:val="21"/>
      <w:szCs w:val="24"/>
    </w:rPr>
  </w:style>
  <w:style w:type="paragraph" w:customStyle="1" w:styleId="56">
    <w:name w:val="编号"/>
    <w:basedOn w:val="54"/>
    <w:link w:val="57"/>
    <w:qFormat/>
    <w:uiPriority w:val="0"/>
    <w:pPr>
      <w:numPr>
        <w:ilvl w:val="0"/>
        <w:numId w:val="3"/>
      </w:numPr>
    </w:pPr>
  </w:style>
  <w:style w:type="character" w:customStyle="1" w:styleId="57">
    <w:name w:val="编号 Char"/>
    <w:basedOn w:val="55"/>
    <w:link w:val="56"/>
    <w:qFormat/>
    <w:uiPriority w:val="0"/>
    <w:rPr>
      <w:rFonts w:hAnsi="宋体"/>
      <w:kern w:val="2"/>
      <w:sz w:val="24"/>
      <w:szCs w:val="24"/>
    </w:rPr>
  </w:style>
  <w:style w:type="character" w:customStyle="1" w:styleId="58">
    <w:name w:val="批注文字 Char"/>
    <w:basedOn w:val="30"/>
    <w:link w:val="12"/>
    <w:semiHidden/>
    <w:qFormat/>
    <w:uiPriority w:val="99"/>
    <w:rPr>
      <w:kern w:val="2"/>
      <w:sz w:val="21"/>
      <w:szCs w:val="24"/>
    </w:rPr>
  </w:style>
  <w:style w:type="character" w:customStyle="1" w:styleId="59">
    <w:name w:val="批注主题 Char"/>
    <w:basedOn w:val="58"/>
    <w:link w:val="11"/>
    <w:semiHidden/>
    <w:qFormat/>
    <w:uiPriority w:val="0"/>
    <w:rPr>
      <w:b/>
      <w:bCs/>
      <w:kern w:val="2"/>
      <w:sz w:val="21"/>
      <w:szCs w:val="24"/>
    </w:rPr>
  </w:style>
  <w:style w:type="paragraph" w:customStyle="1" w:styleId="60">
    <w:name w:val="列出段落1"/>
    <w:basedOn w:val="1"/>
    <w:qFormat/>
    <w:uiPriority w:val="34"/>
    <w:pPr>
      <w:ind w:firstLine="420" w:firstLineChars="200"/>
    </w:pPr>
  </w:style>
  <w:style w:type="paragraph" w:customStyle="1" w:styleId="61">
    <w:name w:val="样式 (中文) 黑体 二号 行距: 1.5 倍行距"/>
    <w:basedOn w:val="1"/>
    <w:qFormat/>
    <w:uiPriority w:val="0"/>
    <w:pPr>
      <w:spacing w:line="360" w:lineRule="auto"/>
    </w:pPr>
    <w:rPr>
      <w:rFonts w:cs="宋体"/>
      <w:sz w:val="44"/>
      <w:szCs w:val="20"/>
    </w:rPr>
  </w:style>
  <w:style w:type="paragraph" w:customStyle="1" w:styleId="62">
    <w:name w:val="列出段落2"/>
    <w:basedOn w:val="1"/>
    <w:qFormat/>
    <w:uiPriority w:val="34"/>
    <w:pPr>
      <w:ind w:firstLine="420" w:firstLineChars="200"/>
    </w:pPr>
  </w:style>
  <w:style w:type="character" w:customStyle="1" w:styleId="63">
    <w:name w:val="正文文本缩进 Char"/>
    <w:basedOn w:val="30"/>
    <w:link w:val="16"/>
    <w:qFormat/>
    <w:uiPriority w:val="0"/>
    <w:rPr>
      <w:rFonts w:ascii="宋体"/>
      <w:kern w:val="2"/>
      <w:sz w:val="24"/>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emf"/><Relationship Id="rId12" Type="http://schemas.openxmlformats.org/officeDocument/2006/relationships/oleObject" Target="embeddings/oleObject1.bin"/><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6C53E9-1ABC-49B9-83F2-EEED32959FBC}">
  <ds:schemaRefs/>
</ds:datastoreItem>
</file>

<file path=docProps/app.xml><?xml version="1.0" encoding="utf-8"?>
<Properties xmlns="http://schemas.openxmlformats.org/officeDocument/2006/extended-properties" xmlns:vt="http://schemas.openxmlformats.org/officeDocument/2006/docPropsVTypes">
  <Template>Normal.dotm</Template>
  <Company>中国标准研究中心</Company>
  <Pages>1</Pages>
  <Words>5019</Words>
  <Characters>28612</Characters>
  <Lines>238</Lines>
  <Paragraphs>67</Paragraphs>
  <TotalTime>0</TotalTime>
  <ScaleCrop>false</ScaleCrop>
  <LinksUpToDate>false</LinksUpToDate>
  <CharactersWithSpaces>33564</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2018-01-03T03:59:00Z</dcterms:created>
  <dc:creator>ESCN</dc:creator>
  <cp:lastModifiedBy>ESCN</cp:lastModifiedBy>
  <cp:lastPrinted>2012-04-28T07:45:00Z</cp:lastPrinted>
  <dcterms:modified xsi:type="dcterms:W3CDTF">2018-04-23T04:54:27Z</dcterms:modified>
  <dc:title>标准名称</dc:title>
  <cp:revision>611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el11-15">
    <vt:lpwstr/>
  </property>
  <property fmtid="{D5CDD505-2E9C-101B-9397-08002B2CF9AE}" pid="3" name="Label11-14">
    <vt:lpwstr/>
  </property>
  <property fmtid="{D5CDD505-2E9C-101B-9397-08002B2CF9AE}" pid="4" name="Label11-13">
    <vt:lpwstr>中国南方电网责任有限公司</vt:lpwstr>
  </property>
  <property fmtid="{D5CDD505-2E9C-101B-9397-08002B2CF9AE}" pid="5" name="Label11-12">
    <vt:lpwstr>20  -  -  实施</vt:lpwstr>
  </property>
  <property fmtid="{D5CDD505-2E9C-101B-9397-08002B2CF9AE}" pid="6" name="Label11-11">
    <vt:lpwstr>20  -  -  发布</vt:lpwstr>
  </property>
  <property fmtid="{D5CDD505-2E9C-101B-9397-08002B2CF9AE}" pid="7" name="Label11-10">
    <vt:lpwstr>（与国际标准一致性程度的标识）</vt:lpwstr>
  </property>
  <property fmtid="{D5CDD505-2E9C-101B-9397-08002B2CF9AE}" pid="8" name="Label11-9">
    <vt:lpwstr>标准英文名称</vt:lpwstr>
  </property>
  <property fmtid="{D5CDD505-2E9C-101B-9397-08002B2CF9AE}" pid="9" name="Label11-8">
    <vt:lpwstr>标准名称</vt:lpwstr>
  </property>
  <property fmtid="{D5CDD505-2E9C-101B-9397-08002B2CF9AE}" pid="10" name="Label11-7">
    <vt:lpwstr>代替Q/  —</vt:lpwstr>
  </property>
  <property fmtid="{D5CDD505-2E9C-101B-9397-08002B2CF9AE}" pid="11" name="Label11-6">
    <vt:lpwstr>Q/  —</vt:lpwstr>
  </property>
  <property fmtid="{D5CDD505-2E9C-101B-9397-08002B2CF9AE}" pid="12" name="Label11-5">
    <vt:lpwstr>中国南方电网责任有限公司企业标准</vt:lpwstr>
  </property>
  <property fmtid="{D5CDD505-2E9C-101B-9397-08002B2CF9AE}" pid="13" name="Label11-4">
    <vt:lpwstr>Q/</vt:lpwstr>
  </property>
  <property fmtid="{D5CDD505-2E9C-101B-9397-08002B2CF9AE}" pid="14" name="Label11-3">
    <vt:lpwstr>备案号：</vt:lpwstr>
  </property>
  <property fmtid="{D5CDD505-2E9C-101B-9397-08002B2CF9AE}" pid="15" name="Label11-2">
    <vt:lpwstr> </vt:lpwstr>
  </property>
  <property fmtid="{D5CDD505-2E9C-101B-9397-08002B2CF9AE}" pid="16" name="Label11-1">
    <vt:lpwstr>ICS</vt:lpwstr>
  </property>
  <property fmtid="{D5CDD505-2E9C-101B-9397-08002B2CF9AE}" pid="17" name="Label11-0">
    <vt:lpwstr>3</vt:lpwstr>
  </property>
  <property fmtid="{D5CDD505-2E9C-101B-9397-08002B2CF9AE}" pid="18" name="Label17- ">
    <vt:lpwstr>0</vt:lpwstr>
  </property>
  <property fmtid="{D5CDD505-2E9C-101B-9397-08002B2CF9AE}" pid="19" name="Label16- ">
    <vt:lpwstr>0</vt:lpwstr>
  </property>
  <property fmtid="{D5CDD505-2E9C-101B-9397-08002B2CF9AE}" pid="20" name="Label15- ">
    <vt:lpwstr>1</vt:lpwstr>
  </property>
  <property fmtid="{D5CDD505-2E9C-101B-9397-08002B2CF9AE}" pid="21" name="Label11-16">
    <vt:lpwstr>CSG</vt:lpwstr>
  </property>
  <property fmtid="{D5CDD505-2E9C-101B-9397-08002B2CF9AE}" pid="22" name="Label14- ">
    <vt:lpwstr>0</vt:lpwstr>
  </property>
  <property fmtid="{D5CDD505-2E9C-101B-9397-08002B2CF9AE}" pid="23" name="Label13- ">
    <vt:lpwstr>3</vt:lpwstr>
  </property>
  <property fmtid="{D5CDD505-2E9C-101B-9397-08002B2CF9AE}" pid="24" name="Label12- ">
    <vt:lpwstr>Label12</vt:lpwstr>
  </property>
  <property fmtid="{D5CDD505-2E9C-101B-9397-08002B2CF9AE}" pid="25" name="Label10- ">
    <vt:lpwstr>2</vt:lpwstr>
  </property>
  <property fmtid="{D5CDD505-2E9C-101B-9397-08002B2CF9AE}" pid="26" name="Label9- ">
    <vt:lpwstr>True</vt:lpwstr>
  </property>
  <property fmtid="{D5CDD505-2E9C-101B-9397-08002B2CF9AE}" pid="27" name="Label8- ">
    <vt:lpwstr>false</vt:lpwstr>
  </property>
  <property fmtid="{D5CDD505-2E9C-101B-9397-08002B2CF9AE}" pid="28" name="Label7- ">
    <vt:lpwstr/>
  </property>
  <property fmtid="{D5CDD505-2E9C-101B-9397-08002B2CF9AE}" pid="29" name="Label6- ">
    <vt:lpwstr/>
  </property>
  <property fmtid="{D5CDD505-2E9C-101B-9397-08002B2CF9AE}" pid="30" name="Label5- ">
    <vt:lpwstr/>
  </property>
  <property fmtid="{D5CDD505-2E9C-101B-9397-08002B2CF9AE}" pid="31" name="Label4- ">
    <vt:lpwstr/>
  </property>
  <property fmtid="{D5CDD505-2E9C-101B-9397-08002B2CF9AE}" pid="32" name="Label3- ">
    <vt:lpwstr>False</vt:lpwstr>
  </property>
  <property fmtid="{D5CDD505-2E9C-101B-9397-08002B2CF9AE}" pid="33" name="Label2- ">
    <vt:lpwstr>Q/  —</vt:lpwstr>
  </property>
  <property fmtid="{D5CDD505-2E9C-101B-9397-08002B2CF9AE}" pid="34" name="Label1- ">
    <vt:lpwstr>True</vt:lpwstr>
  </property>
  <property fmtid="{D5CDD505-2E9C-101B-9397-08002B2CF9AE}" pid="35" name="状态">
    <vt:lpwstr>隐藏修订</vt:lpwstr>
  </property>
  <property fmtid="{D5CDD505-2E9C-101B-9397-08002B2CF9AE}" pid="36" name="mycomment">
    <vt:lpwstr> </vt:lpwstr>
  </property>
  <property fmtid="{D5CDD505-2E9C-101B-9397-08002B2CF9AE}" pid="37" name="KSOProductBuildVer">
    <vt:lpwstr>2052-10.1.0.7223</vt:lpwstr>
  </property>
</Properties>
</file>